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DSM-5</w:t>
      </w:r>
      <w:r>
        <w:rPr>
          <w:spacing w:val="-4"/>
        </w:rPr>
        <w:t> </w:t>
      </w:r>
      <w:r>
        <w:rPr/>
        <w:t>Self-Rated</w:t>
      </w:r>
      <w:r>
        <w:rPr>
          <w:spacing w:val="-1"/>
        </w:rPr>
        <w:t> </w:t>
      </w:r>
      <w:r>
        <w:rPr/>
        <w:t>Level</w:t>
      </w:r>
      <w:r>
        <w:rPr>
          <w:spacing w:val="-3"/>
        </w:rPr>
        <w:t> </w:t>
      </w:r>
      <w:r>
        <w:rPr/>
        <w:t>1</w:t>
      </w:r>
      <w:r>
        <w:rPr>
          <w:spacing w:val="-4"/>
        </w:rPr>
        <w:t> </w:t>
      </w:r>
      <w:r>
        <w:rPr/>
        <w:t>Cross-Cutting</w:t>
      </w:r>
      <w:r>
        <w:rPr>
          <w:spacing w:val="-2"/>
        </w:rPr>
        <w:t> </w:t>
      </w:r>
      <w:r>
        <w:rPr/>
        <w:t>Symptom</w:t>
      </w:r>
      <w:r>
        <w:rPr>
          <w:spacing w:val="-3"/>
        </w:rPr>
        <w:t> </w:t>
      </w:r>
      <w:r>
        <w:rPr/>
        <w:t>Measure—Adult</w:t>
      </w:r>
    </w:p>
    <w:p>
      <w:pPr>
        <w:pStyle w:val="BodyText"/>
        <w:spacing w:before="8"/>
        <w:rPr>
          <w:b/>
          <w:sz w:val="16"/>
        </w:rPr>
      </w:pPr>
    </w:p>
    <w:p>
      <w:pPr>
        <w:tabs>
          <w:tab w:pos="3302" w:val="left" w:leader="none"/>
          <w:tab w:pos="3900" w:val="left" w:leader="none"/>
          <w:tab w:pos="4714" w:val="left" w:leader="none"/>
          <w:tab w:pos="5340" w:val="left" w:leader="none"/>
          <w:tab w:pos="7609" w:val="left" w:leader="none"/>
          <w:tab w:pos="8854" w:val="left" w:leader="none"/>
        </w:tabs>
        <w:spacing w:before="88"/>
        <w:ind w:left="120" w:right="0" w:firstLine="0"/>
        <w:jc w:val="left"/>
        <w:rPr>
          <w:rFonts w:ascii="Times New Roman" w:hAnsi="Times New Roman"/>
          <w:sz w:val="20"/>
        </w:rPr>
      </w:pPr>
      <w:r>
        <w:rPr>
          <w:b/>
          <w:sz w:val="20"/>
        </w:rPr>
        <w:t>Name:</w:t>
      </w:r>
      <w:r>
        <w:rPr>
          <w:rFonts w:ascii="Times New Roman" w:hAnsi="Times New Roman"/>
          <w:b/>
          <w:sz w:val="20"/>
          <w:u w:val="single"/>
        </w:rPr>
        <w:tab/>
      </w:r>
      <w:r>
        <w:rPr>
          <w:b/>
          <w:sz w:val="20"/>
        </w:rPr>
        <w:t>_</w:t>
        <w:tab/>
        <w:t>Age:</w:t>
      </w:r>
      <w:r>
        <w:rPr>
          <w:rFonts w:ascii="Times New Roman" w:hAnsi="Times New Roman"/>
          <w:b/>
          <w:sz w:val="20"/>
          <w:u w:val="single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b/>
          <w:sz w:val="20"/>
        </w:rPr>
        <w:t>Sex:</w:t>
      </w:r>
      <w:r>
        <w:rPr>
          <w:b/>
          <w:spacing w:val="44"/>
          <w:sz w:val="20"/>
        </w:rPr>
        <w:t> </w:t>
      </w:r>
      <w:r>
        <w:rPr>
          <w:rFonts w:ascii="Wingdings" w:hAnsi="Wingdings"/>
          <w:sz w:val="20"/>
        </w:rPr>
        <w:t></w:t>
      </w:r>
      <w:r>
        <w:rPr>
          <w:rFonts w:ascii="Times New Roman" w:hAnsi="Times New Roman"/>
          <w:spacing w:val="-5"/>
          <w:sz w:val="20"/>
        </w:rPr>
        <w:t> </w:t>
      </w:r>
      <w:r>
        <w:rPr>
          <w:b/>
          <w:sz w:val="20"/>
        </w:rPr>
        <w:t>Male</w:t>
      </w:r>
      <w:r>
        <w:rPr>
          <w:b/>
          <w:spacing w:val="44"/>
          <w:sz w:val="20"/>
        </w:rPr>
        <w:t> </w:t>
      </w:r>
      <w:r>
        <w:rPr>
          <w:rFonts w:ascii="Wingdings" w:hAnsi="Wingdings"/>
          <w:sz w:val="20"/>
        </w:rPr>
        <w:t></w:t>
      </w:r>
      <w:r>
        <w:rPr>
          <w:rFonts w:ascii="Times New Roman" w:hAnsi="Times New Roman"/>
          <w:spacing w:val="-6"/>
          <w:sz w:val="20"/>
        </w:rPr>
        <w:t> </w:t>
      </w:r>
      <w:r>
        <w:rPr>
          <w:b/>
          <w:sz w:val="20"/>
        </w:rPr>
        <w:t>Female</w:t>
        <w:tab/>
        <w:t>Date:</w:t>
      </w:r>
      <w:r>
        <w:rPr>
          <w:rFonts w:ascii="Times New Roman" w:hAnsi="Times New Roman"/>
          <w:sz w:val="20"/>
          <w:u w:val="single"/>
        </w:rPr>
        <w:t> </w:t>
        <w:tab/>
      </w:r>
    </w:p>
    <w:p>
      <w:pPr>
        <w:pStyle w:val="BodyText"/>
        <w:spacing w:before="7"/>
        <w:rPr>
          <w:rFonts w:ascii="Times New Roman"/>
          <w:sz w:val="13"/>
        </w:rPr>
      </w:pPr>
    </w:p>
    <w:p>
      <w:pPr>
        <w:tabs>
          <w:tab w:pos="9938" w:val="left" w:leader="none"/>
        </w:tabs>
        <w:spacing w:before="87"/>
        <w:ind w:left="112" w:right="0" w:firstLine="0"/>
        <w:jc w:val="left"/>
        <w:rPr>
          <w:rFonts w:ascii="Times New Roman"/>
          <w:sz w:val="20"/>
        </w:rPr>
      </w:pPr>
      <w:r>
        <w:rPr>
          <w:i/>
          <w:sz w:val="20"/>
        </w:rPr>
        <w:t>If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this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questionnaire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is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completed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by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an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informant</w:t>
      </w:r>
      <w:r>
        <w:rPr>
          <w:sz w:val="20"/>
        </w:rPr>
        <w:t>, </w:t>
      </w:r>
      <w:r>
        <w:rPr>
          <w:b/>
          <w:sz w:val="20"/>
        </w:rPr>
        <w:t>what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is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your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relationship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with</w:t>
      </w:r>
      <w:r>
        <w:rPr>
          <w:b/>
          <w:spacing w:val="2"/>
          <w:sz w:val="20"/>
        </w:rPr>
        <w:t> </w:t>
      </w:r>
      <w:r>
        <w:rPr>
          <w:b/>
          <w:sz w:val="20"/>
        </w:rPr>
        <w:t>the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individual?</w:t>
      </w:r>
      <w:r>
        <w:rPr>
          <w:b/>
          <w:spacing w:val="-1"/>
          <w:sz w:val="20"/>
        </w:rPr>
        <w:t> </w:t>
      </w:r>
      <w:r>
        <w:rPr>
          <w:rFonts w:ascii="Times New Roman"/>
          <w:w w:val="99"/>
          <w:sz w:val="20"/>
          <w:u w:val="single"/>
        </w:rPr>
        <w:t> </w:t>
      </w:r>
      <w:r>
        <w:rPr>
          <w:rFonts w:ascii="Times New Roman"/>
          <w:sz w:val="20"/>
          <w:u w:val="single"/>
        </w:rPr>
        <w:tab/>
      </w:r>
    </w:p>
    <w:p>
      <w:pPr>
        <w:tabs>
          <w:tab w:pos="8952" w:val="left" w:leader="none"/>
        </w:tabs>
        <w:spacing w:before="1"/>
        <w:ind w:left="112" w:right="0" w:firstLine="0"/>
        <w:jc w:val="left"/>
        <w:rPr>
          <w:b/>
          <w:sz w:val="20"/>
        </w:rPr>
      </w:pPr>
      <w:r>
        <w:rPr>
          <w:b/>
          <w:sz w:val="20"/>
        </w:rPr>
        <w:t>In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typical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week,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approximately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how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much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time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you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spend with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the individual?</w:t>
      </w:r>
      <w:r>
        <w:rPr>
          <w:rFonts w:ascii="Times New Roman"/>
          <w:b/>
          <w:sz w:val="20"/>
          <w:u w:val="single"/>
        </w:rPr>
        <w:tab/>
      </w:r>
      <w:r>
        <w:rPr>
          <w:b/>
          <w:sz w:val="20"/>
        </w:rPr>
        <w:t>_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hours/week</w:t>
      </w:r>
    </w:p>
    <w:p>
      <w:pPr>
        <w:pStyle w:val="BodyText"/>
        <w:spacing w:before="9"/>
        <w:rPr>
          <w:b/>
          <w:sz w:val="19"/>
        </w:rPr>
      </w:pPr>
    </w:p>
    <w:p>
      <w:pPr>
        <w:spacing w:line="276" w:lineRule="auto" w:before="0"/>
        <w:ind w:left="120" w:right="922" w:firstLine="0"/>
        <w:jc w:val="left"/>
        <w:rPr>
          <w:sz w:val="20"/>
        </w:rPr>
      </w:pPr>
      <w:r>
        <w:rPr>
          <w:b/>
          <w:sz w:val="20"/>
        </w:rPr>
        <w:t>Instructions: </w:t>
      </w:r>
      <w:r>
        <w:rPr>
          <w:sz w:val="20"/>
        </w:rPr>
        <w:t>The questions below ask about things that might have bothered you. For each question, circle the number that best</w:t>
      </w:r>
      <w:r>
        <w:rPr>
          <w:spacing w:val="-43"/>
          <w:sz w:val="20"/>
        </w:rPr>
        <w:t> </w:t>
      </w:r>
      <w:r>
        <w:rPr>
          <w:sz w:val="20"/>
        </w:rPr>
        <w:t>describes</w:t>
      </w:r>
      <w:r>
        <w:rPr>
          <w:spacing w:val="-3"/>
          <w:sz w:val="20"/>
        </w:rPr>
        <w:t> </w:t>
      </w:r>
      <w:r>
        <w:rPr>
          <w:sz w:val="20"/>
        </w:rPr>
        <w:t>how much</w:t>
      </w:r>
      <w:r>
        <w:rPr>
          <w:spacing w:val="1"/>
          <w:sz w:val="20"/>
        </w:rPr>
        <w:t> </w:t>
      </w:r>
      <w:r>
        <w:rPr>
          <w:sz w:val="20"/>
        </w:rPr>
        <w:t>(or how often)</w:t>
      </w:r>
      <w:r>
        <w:rPr>
          <w:spacing w:val="-2"/>
          <w:sz w:val="20"/>
        </w:rPr>
        <w:t> </w:t>
      </w:r>
      <w:r>
        <w:rPr>
          <w:sz w:val="20"/>
        </w:rPr>
        <w:t>you have</w:t>
      </w:r>
      <w:r>
        <w:rPr>
          <w:spacing w:val="-2"/>
          <w:sz w:val="20"/>
        </w:rPr>
        <w:t> </w:t>
      </w:r>
      <w:r>
        <w:rPr>
          <w:sz w:val="20"/>
        </w:rPr>
        <w:t>been</w:t>
      </w:r>
      <w:r>
        <w:rPr>
          <w:spacing w:val="-1"/>
          <w:sz w:val="20"/>
        </w:rPr>
        <w:t> </w:t>
      </w:r>
      <w:r>
        <w:rPr>
          <w:sz w:val="20"/>
        </w:rPr>
        <w:t>bothered by</w:t>
      </w:r>
      <w:r>
        <w:rPr>
          <w:spacing w:val="-1"/>
          <w:sz w:val="20"/>
        </w:rPr>
        <w:t> </w:t>
      </w:r>
      <w:r>
        <w:rPr>
          <w:sz w:val="20"/>
        </w:rPr>
        <w:t>each</w:t>
      </w:r>
      <w:r>
        <w:rPr>
          <w:spacing w:val="5"/>
          <w:sz w:val="20"/>
        </w:rPr>
        <w:t> </w:t>
      </w:r>
      <w:r>
        <w:rPr>
          <w:sz w:val="20"/>
        </w:rPr>
        <w:t>problem</w:t>
      </w:r>
      <w:r>
        <w:rPr>
          <w:spacing w:val="-1"/>
          <w:sz w:val="20"/>
        </w:rPr>
        <w:t> </w:t>
      </w:r>
      <w:r>
        <w:rPr>
          <w:sz w:val="20"/>
        </w:rPr>
        <w:t>during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b/>
          <w:sz w:val="20"/>
        </w:rPr>
        <w:t>past TWO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(2)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WEEKS</w:t>
      </w:r>
      <w:r>
        <w:rPr>
          <w:sz w:val="20"/>
        </w:rPr>
        <w:t>.</w:t>
      </w:r>
    </w:p>
    <w:tbl>
      <w:tblPr>
        <w:tblW w:w="0" w:type="auto"/>
        <w:jc w:val="left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1"/>
        <w:gridCol w:w="6570"/>
        <w:gridCol w:w="540"/>
        <w:gridCol w:w="901"/>
        <w:gridCol w:w="632"/>
        <w:gridCol w:w="901"/>
        <w:gridCol w:w="630"/>
        <w:gridCol w:w="681"/>
      </w:tblGrid>
      <w:tr>
        <w:trPr>
          <w:trHeight w:val="878" w:hRule="atLeast"/>
        </w:trPr>
        <w:tc>
          <w:tcPr>
            <w:tcW w:w="4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70" w:type="dxa"/>
          </w:tcPr>
          <w:p>
            <w:pPr>
              <w:pStyle w:val="TableParagraph"/>
              <w:spacing w:before="10"/>
              <w:jc w:val="left"/>
              <w:rPr>
                <w:sz w:val="25"/>
              </w:rPr>
            </w:pPr>
          </w:p>
          <w:p>
            <w:pPr>
              <w:pStyle w:val="TableParagraph"/>
              <w:spacing w:before="0"/>
              <w:ind w:left="88"/>
              <w:jc w:val="left"/>
              <w:rPr>
                <w:sz w:val="20"/>
              </w:rPr>
            </w:pPr>
            <w:r>
              <w:rPr>
                <w:sz w:val="20"/>
              </w:rPr>
              <w:t>During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past</w:t>
            </w:r>
            <w:r>
              <w:rPr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TWO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(2)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WEEKS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how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much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how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often) have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been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bothered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by the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following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problems?</w:t>
            </w:r>
          </w:p>
        </w:tc>
        <w:tc>
          <w:tcPr>
            <w:tcW w:w="540" w:type="dxa"/>
          </w:tcPr>
          <w:p>
            <w:pPr>
              <w:pStyle w:val="TableParagraph"/>
              <w:spacing w:before="0"/>
              <w:ind w:left="40" w:right="28" w:hanging="6"/>
              <w:rPr>
                <w:sz w:val="18"/>
              </w:rPr>
            </w:pPr>
            <w:r>
              <w:rPr>
                <w:b/>
                <w:sz w:val="18"/>
              </w:rPr>
              <w:t>None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Not </w:t>
            </w:r>
            <w:r>
              <w:rPr>
                <w:sz w:val="18"/>
              </w:rPr>
              <w:t>at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all</w:t>
            </w:r>
          </w:p>
        </w:tc>
        <w:tc>
          <w:tcPr>
            <w:tcW w:w="901" w:type="dxa"/>
          </w:tcPr>
          <w:p>
            <w:pPr>
              <w:pStyle w:val="TableParagraph"/>
              <w:spacing w:before="0"/>
              <w:ind w:left="67" w:right="58" w:hanging="3"/>
              <w:rPr>
                <w:sz w:val="18"/>
              </w:rPr>
            </w:pPr>
            <w:r>
              <w:rPr>
                <w:b/>
                <w:sz w:val="18"/>
              </w:rPr>
              <w:t>Slight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sz w:val="18"/>
              </w:rPr>
              <w:t>Rare, less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than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day</w:t>
            </w:r>
          </w:p>
          <w:p>
            <w:pPr>
              <w:pStyle w:val="TableParagraph"/>
              <w:spacing w:line="200" w:lineRule="exact" w:before="0"/>
              <w:ind w:left="189" w:right="180"/>
              <w:rPr>
                <w:sz w:val="18"/>
              </w:rPr>
            </w:pP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two</w:t>
            </w:r>
          </w:p>
        </w:tc>
        <w:tc>
          <w:tcPr>
            <w:tcW w:w="632" w:type="dxa"/>
          </w:tcPr>
          <w:p>
            <w:pPr>
              <w:pStyle w:val="TableParagraph"/>
              <w:spacing w:before="0"/>
              <w:ind w:left="47" w:right="41" w:hanging="3"/>
              <w:rPr>
                <w:sz w:val="18"/>
              </w:rPr>
            </w:pPr>
            <w:r>
              <w:rPr>
                <w:b/>
                <w:sz w:val="18"/>
              </w:rPr>
              <w:t>Mild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Several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days</w:t>
            </w:r>
          </w:p>
        </w:tc>
        <w:tc>
          <w:tcPr>
            <w:tcW w:w="901" w:type="dxa"/>
          </w:tcPr>
          <w:p>
            <w:pPr>
              <w:pStyle w:val="TableParagraph"/>
              <w:spacing w:before="0"/>
              <w:ind w:left="58" w:right="54" w:firstLine="5"/>
              <w:rPr>
                <w:sz w:val="18"/>
              </w:rPr>
            </w:pPr>
            <w:r>
              <w:rPr>
                <w:b/>
                <w:sz w:val="18"/>
              </w:rPr>
              <w:t>Moderate</w:t>
            </w:r>
            <w:r>
              <w:rPr>
                <w:b/>
                <w:spacing w:val="-38"/>
                <w:sz w:val="18"/>
              </w:rPr>
              <w:t> </w:t>
            </w:r>
            <w:r>
              <w:rPr>
                <w:spacing w:val="-1"/>
                <w:sz w:val="18"/>
              </w:rPr>
              <w:t>More than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half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the</w:t>
            </w:r>
          </w:p>
          <w:p>
            <w:pPr>
              <w:pStyle w:val="TableParagraph"/>
              <w:spacing w:line="200" w:lineRule="exact" w:before="0"/>
              <w:ind w:left="184" w:right="180"/>
              <w:rPr>
                <w:sz w:val="18"/>
              </w:rPr>
            </w:pPr>
            <w:r>
              <w:rPr>
                <w:sz w:val="18"/>
              </w:rPr>
              <w:t>days</w:t>
            </w:r>
          </w:p>
        </w:tc>
        <w:tc>
          <w:tcPr>
            <w:tcW w:w="630" w:type="dxa"/>
          </w:tcPr>
          <w:p>
            <w:pPr>
              <w:pStyle w:val="TableParagraph"/>
              <w:spacing w:before="0"/>
              <w:ind w:left="72" w:right="54" w:hanging="1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Severe</w:t>
            </w:r>
            <w:r>
              <w:rPr>
                <w:b/>
                <w:spacing w:val="-39"/>
                <w:sz w:val="18"/>
              </w:rPr>
              <w:t> </w:t>
            </w:r>
            <w:r>
              <w:rPr>
                <w:sz w:val="18"/>
              </w:rPr>
              <w:t>Nearly</w:t>
            </w:r>
            <w:r>
              <w:rPr>
                <w:spacing w:val="-39"/>
                <w:sz w:val="18"/>
              </w:rPr>
              <w:t> </w:t>
            </w:r>
            <w:r>
              <w:rPr>
                <w:sz w:val="18"/>
              </w:rPr>
              <w:t>every</w:t>
            </w:r>
          </w:p>
          <w:p>
            <w:pPr>
              <w:pStyle w:val="TableParagraph"/>
              <w:spacing w:line="200" w:lineRule="exact" w:before="0"/>
              <w:ind w:left="180"/>
              <w:jc w:val="left"/>
              <w:rPr>
                <w:sz w:val="18"/>
              </w:rPr>
            </w:pPr>
            <w:r>
              <w:rPr>
                <w:sz w:val="18"/>
              </w:rPr>
              <w:t>day</w:t>
            </w:r>
          </w:p>
        </w:tc>
        <w:tc>
          <w:tcPr>
            <w:tcW w:w="681" w:type="dxa"/>
          </w:tcPr>
          <w:p>
            <w:pPr>
              <w:pStyle w:val="TableParagraph"/>
              <w:spacing w:before="0"/>
              <w:ind w:left="25" w:right="21" w:hanging="2"/>
              <w:rPr>
                <w:sz w:val="16"/>
              </w:rPr>
            </w:pPr>
            <w:r>
              <w:rPr>
                <w:b/>
                <w:sz w:val="18"/>
              </w:rPr>
              <w:t>Highest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Domain</w:t>
            </w:r>
            <w:r>
              <w:rPr>
                <w:b/>
                <w:spacing w:val="-38"/>
                <w:sz w:val="18"/>
              </w:rPr>
              <w:t> </w:t>
            </w:r>
            <w:r>
              <w:rPr>
                <w:b/>
                <w:sz w:val="18"/>
              </w:rPr>
              <w:t>Score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spacing w:val="-1"/>
                <w:sz w:val="16"/>
              </w:rPr>
              <w:t>(clinician)</w:t>
            </w:r>
          </w:p>
        </w:tc>
      </w:tr>
      <w:tr>
        <w:trPr>
          <w:trHeight w:val="340" w:hRule="atLeast"/>
        </w:trPr>
        <w:tc>
          <w:tcPr>
            <w:tcW w:w="401" w:type="dxa"/>
            <w:vMerge w:val="restart"/>
            <w:shd w:val="clear" w:color="auto" w:fill="DBE5F1"/>
          </w:tcPr>
          <w:p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I.</w:t>
            </w:r>
          </w:p>
        </w:tc>
        <w:tc>
          <w:tcPr>
            <w:tcW w:w="6570" w:type="dxa"/>
            <w:shd w:val="clear" w:color="auto" w:fill="DBE5F1"/>
          </w:tcPr>
          <w:p>
            <w:pPr>
              <w:pStyle w:val="TableParagraph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Little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interest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pleasure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doing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things?</w:t>
            </w:r>
          </w:p>
        </w:tc>
        <w:tc>
          <w:tcPr>
            <w:tcW w:w="540" w:type="dxa"/>
            <w:shd w:val="clear" w:color="auto" w:fill="DBE5F1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  <w:shd w:val="clear" w:color="auto" w:fill="DBE5F1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  <w:shd w:val="clear" w:color="auto" w:fill="DBE5F1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 w:val="restart"/>
            <w:shd w:val="clear" w:color="auto" w:fill="DBE5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40" w:hRule="atLeast"/>
        </w:trPr>
        <w:tc>
          <w:tcPr>
            <w:tcW w:w="401" w:type="dxa"/>
            <w:vMerge/>
            <w:tcBorders>
              <w:top w:val="nil"/>
            </w:tcBorders>
            <w:shd w:val="clear" w:color="auto" w:fill="DBE5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70" w:type="dxa"/>
            <w:shd w:val="clear" w:color="auto" w:fill="DBE5F1"/>
          </w:tcPr>
          <w:p>
            <w:pPr>
              <w:pStyle w:val="TableParagraph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Feeling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down,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depressed,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hopeless?</w:t>
            </w:r>
          </w:p>
        </w:tc>
        <w:tc>
          <w:tcPr>
            <w:tcW w:w="540" w:type="dxa"/>
            <w:shd w:val="clear" w:color="auto" w:fill="DBE5F1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  <w:shd w:val="clear" w:color="auto" w:fill="DBE5F1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  <w:shd w:val="clear" w:color="auto" w:fill="DBE5F1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/>
            <w:tcBorders>
              <w:top w:val="nil"/>
            </w:tcBorders>
            <w:shd w:val="clear" w:color="auto" w:fill="DBE5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401" w:type="dxa"/>
          </w:tcPr>
          <w:p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II.</w:t>
            </w:r>
          </w:p>
        </w:tc>
        <w:tc>
          <w:tcPr>
            <w:tcW w:w="6570" w:type="dxa"/>
          </w:tcPr>
          <w:p>
            <w:pPr>
              <w:pStyle w:val="TableParagraph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Feeling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more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irritated,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grouchy,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angry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usual?</w:t>
            </w:r>
          </w:p>
        </w:tc>
        <w:tc>
          <w:tcPr>
            <w:tcW w:w="540" w:type="dxa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41" w:hRule="atLeast"/>
        </w:trPr>
        <w:tc>
          <w:tcPr>
            <w:tcW w:w="401" w:type="dxa"/>
            <w:vMerge w:val="restart"/>
            <w:shd w:val="clear" w:color="auto" w:fill="DBE5F1"/>
          </w:tcPr>
          <w:p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III.</w:t>
            </w:r>
          </w:p>
        </w:tc>
        <w:tc>
          <w:tcPr>
            <w:tcW w:w="6570" w:type="dxa"/>
            <w:shd w:val="clear" w:color="auto" w:fill="DBE5F1"/>
          </w:tcPr>
          <w:p>
            <w:pPr>
              <w:pStyle w:val="TableParagraph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Sleeping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less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usual,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but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still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lot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energy?</w:t>
            </w:r>
          </w:p>
        </w:tc>
        <w:tc>
          <w:tcPr>
            <w:tcW w:w="540" w:type="dxa"/>
            <w:shd w:val="clear" w:color="auto" w:fill="DBE5F1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  <w:shd w:val="clear" w:color="auto" w:fill="DBE5F1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  <w:shd w:val="clear" w:color="auto" w:fill="DBE5F1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 w:val="restart"/>
            <w:shd w:val="clear" w:color="auto" w:fill="DBE5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582" w:hRule="atLeast"/>
        </w:trPr>
        <w:tc>
          <w:tcPr>
            <w:tcW w:w="401" w:type="dxa"/>
            <w:vMerge/>
            <w:tcBorders>
              <w:top w:val="nil"/>
            </w:tcBorders>
            <w:shd w:val="clear" w:color="auto" w:fill="DBE5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70" w:type="dxa"/>
            <w:shd w:val="clear" w:color="auto" w:fill="DBE5F1"/>
          </w:tcPr>
          <w:p>
            <w:pPr>
              <w:pStyle w:val="TableParagraph"/>
              <w:ind w:left="372" w:right="148" w:hanging="296"/>
              <w:jc w:val="left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Starting lots more projects than usual or doing more risky things than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usual?</w:t>
            </w:r>
          </w:p>
        </w:tc>
        <w:tc>
          <w:tcPr>
            <w:tcW w:w="540" w:type="dxa"/>
            <w:shd w:val="clear" w:color="auto" w:fill="DBE5F1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  <w:shd w:val="clear" w:color="auto" w:fill="DBE5F1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  <w:shd w:val="clear" w:color="auto" w:fill="DBE5F1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/>
            <w:tcBorders>
              <w:top w:val="nil"/>
            </w:tcBorders>
            <w:shd w:val="clear" w:color="auto" w:fill="DBE5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401" w:type="dxa"/>
            <w:vMerge w:val="restart"/>
          </w:tcPr>
          <w:p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IV.</w:t>
            </w:r>
          </w:p>
        </w:tc>
        <w:tc>
          <w:tcPr>
            <w:tcW w:w="6570" w:type="dxa"/>
          </w:tcPr>
          <w:p>
            <w:pPr>
              <w:pStyle w:val="TableParagraph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Feeling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nervous,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anxious,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frightened,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worried,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edge?</w:t>
            </w:r>
          </w:p>
        </w:tc>
        <w:tc>
          <w:tcPr>
            <w:tcW w:w="540" w:type="dxa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 w:val="restart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40" w:hRule="atLeast"/>
        </w:trPr>
        <w:tc>
          <w:tcPr>
            <w:tcW w:w="4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70" w:type="dxa"/>
          </w:tcPr>
          <w:p>
            <w:pPr>
              <w:pStyle w:val="TableParagraph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Feeling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panic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being frightened?</w:t>
            </w:r>
          </w:p>
        </w:tc>
        <w:tc>
          <w:tcPr>
            <w:tcW w:w="540" w:type="dxa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4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70" w:type="dxa"/>
          </w:tcPr>
          <w:p>
            <w:pPr>
              <w:pStyle w:val="TableParagraph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Avoiding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situations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make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anxious?</w:t>
            </w:r>
          </w:p>
        </w:tc>
        <w:tc>
          <w:tcPr>
            <w:tcW w:w="540" w:type="dxa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401" w:type="dxa"/>
            <w:vMerge w:val="restart"/>
            <w:shd w:val="clear" w:color="auto" w:fill="DBE5F1"/>
          </w:tcPr>
          <w:p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V.</w:t>
            </w:r>
          </w:p>
        </w:tc>
        <w:tc>
          <w:tcPr>
            <w:tcW w:w="6570" w:type="dxa"/>
            <w:shd w:val="clear" w:color="auto" w:fill="DBE5F1"/>
          </w:tcPr>
          <w:p>
            <w:pPr>
              <w:pStyle w:val="TableParagraph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Unexplained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aches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pains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(e.g.,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head,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back,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joints,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abdomen,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legs)?</w:t>
            </w:r>
          </w:p>
        </w:tc>
        <w:tc>
          <w:tcPr>
            <w:tcW w:w="540" w:type="dxa"/>
            <w:shd w:val="clear" w:color="auto" w:fill="DBE5F1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  <w:shd w:val="clear" w:color="auto" w:fill="DBE5F1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  <w:shd w:val="clear" w:color="auto" w:fill="DBE5F1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 w:val="restart"/>
            <w:shd w:val="clear" w:color="auto" w:fill="DBE5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40" w:hRule="atLeast"/>
        </w:trPr>
        <w:tc>
          <w:tcPr>
            <w:tcW w:w="401" w:type="dxa"/>
            <w:vMerge/>
            <w:tcBorders>
              <w:top w:val="nil"/>
            </w:tcBorders>
            <w:shd w:val="clear" w:color="auto" w:fill="DBE5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70" w:type="dxa"/>
            <w:shd w:val="clear" w:color="auto" w:fill="DBE5F1"/>
          </w:tcPr>
          <w:p>
            <w:pPr>
              <w:pStyle w:val="TableParagraph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Feeling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illnesses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taken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seriously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enough?</w:t>
            </w:r>
          </w:p>
        </w:tc>
        <w:tc>
          <w:tcPr>
            <w:tcW w:w="540" w:type="dxa"/>
            <w:shd w:val="clear" w:color="auto" w:fill="DBE5F1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  <w:shd w:val="clear" w:color="auto" w:fill="DBE5F1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  <w:shd w:val="clear" w:color="auto" w:fill="DBE5F1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/>
            <w:tcBorders>
              <w:top w:val="nil"/>
            </w:tcBorders>
            <w:shd w:val="clear" w:color="auto" w:fill="DBE5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401" w:type="dxa"/>
          </w:tcPr>
          <w:p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VI.</w:t>
            </w:r>
          </w:p>
        </w:tc>
        <w:tc>
          <w:tcPr>
            <w:tcW w:w="6570" w:type="dxa"/>
          </w:tcPr>
          <w:p>
            <w:pPr>
              <w:pStyle w:val="TableParagraph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Thoughts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actually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hurting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yourself?</w:t>
            </w:r>
          </w:p>
        </w:tc>
        <w:tc>
          <w:tcPr>
            <w:tcW w:w="540" w:type="dxa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582" w:hRule="atLeast"/>
        </w:trPr>
        <w:tc>
          <w:tcPr>
            <w:tcW w:w="401" w:type="dxa"/>
            <w:vMerge w:val="restart"/>
            <w:shd w:val="clear" w:color="auto" w:fill="DBE5F1"/>
          </w:tcPr>
          <w:p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VII.</w:t>
            </w:r>
          </w:p>
        </w:tc>
        <w:tc>
          <w:tcPr>
            <w:tcW w:w="6570" w:type="dxa"/>
            <w:shd w:val="clear" w:color="auto" w:fill="DBE5F1"/>
          </w:tcPr>
          <w:p>
            <w:pPr>
              <w:pStyle w:val="TableParagraph"/>
              <w:spacing w:line="243" w:lineRule="exact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12.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Hearing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things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people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couldn’t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hear,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such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voices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even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when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no</w:t>
            </w:r>
          </w:p>
          <w:p>
            <w:pPr>
              <w:pStyle w:val="TableParagraph"/>
              <w:spacing w:line="243" w:lineRule="exact" w:before="0"/>
              <w:ind w:left="372"/>
              <w:jc w:val="left"/>
              <w:rPr>
                <w:sz w:val="20"/>
              </w:rPr>
            </w:pPr>
            <w:r>
              <w:rPr>
                <w:sz w:val="20"/>
              </w:rPr>
              <w:t>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around?</w:t>
            </w:r>
          </w:p>
        </w:tc>
        <w:tc>
          <w:tcPr>
            <w:tcW w:w="540" w:type="dxa"/>
            <w:shd w:val="clear" w:color="auto" w:fill="DBE5F1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  <w:shd w:val="clear" w:color="auto" w:fill="DBE5F1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  <w:shd w:val="clear" w:color="auto" w:fill="DBE5F1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 w:val="restart"/>
            <w:shd w:val="clear" w:color="auto" w:fill="DBE5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401" w:type="dxa"/>
            <w:vMerge/>
            <w:tcBorders>
              <w:top w:val="nil"/>
            </w:tcBorders>
            <w:shd w:val="clear" w:color="auto" w:fill="DBE5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70" w:type="dxa"/>
            <w:shd w:val="clear" w:color="auto" w:fill="DBE5F1"/>
          </w:tcPr>
          <w:p>
            <w:pPr>
              <w:pStyle w:val="TableParagraph"/>
              <w:ind w:left="372" w:right="148" w:hanging="296"/>
              <w:jc w:val="left"/>
              <w:rPr>
                <w:sz w:val="20"/>
              </w:rPr>
            </w:pPr>
            <w:r>
              <w:rPr>
                <w:sz w:val="20"/>
              </w:rPr>
              <w:t>13.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Feeling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someone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could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hear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thoughts,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could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hear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what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another person was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thinking?</w:t>
            </w:r>
          </w:p>
        </w:tc>
        <w:tc>
          <w:tcPr>
            <w:tcW w:w="540" w:type="dxa"/>
            <w:shd w:val="clear" w:color="auto" w:fill="DBE5F1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  <w:shd w:val="clear" w:color="auto" w:fill="DBE5F1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  <w:shd w:val="clear" w:color="auto" w:fill="DBE5F1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/>
            <w:tcBorders>
              <w:top w:val="nil"/>
            </w:tcBorders>
            <w:shd w:val="clear" w:color="auto" w:fill="DBE5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401" w:type="dxa"/>
          </w:tcPr>
          <w:p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VIII.</w:t>
            </w:r>
          </w:p>
        </w:tc>
        <w:tc>
          <w:tcPr>
            <w:tcW w:w="6570" w:type="dxa"/>
          </w:tcPr>
          <w:p>
            <w:pPr>
              <w:pStyle w:val="TableParagraph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14.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Problems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sleep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affected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sleep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quality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over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all?</w:t>
            </w:r>
          </w:p>
        </w:tc>
        <w:tc>
          <w:tcPr>
            <w:tcW w:w="540" w:type="dxa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582" w:hRule="atLeast"/>
        </w:trPr>
        <w:tc>
          <w:tcPr>
            <w:tcW w:w="401" w:type="dxa"/>
            <w:shd w:val="clear" w:color="auto" w:fill="DBE5F1"/>
          </w:tcPr>
          <w:p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IX.</w:t>
            </w:r>
          </w:p>
        </w:tc>
        <w:tc>
          <w:tcPr>
            <w:tcW w:w="6570" w:type="dxa"/>
            <w:shd w:val="clear" w:color="auto" w:fill="DBE5F1"/>
          </w:tcPr>
          <w:p>
            <w:pPr>
              <w:pStyle w:val="TableParagraph"/>
              <w:ind w:left="372" w:hanging="296"/>
              <w:jc w:val="left"/>
              <w:rPr>
                <w:sz w:val="20"/>
              </w:rPr>
            </w:pPr>
            <w:r>
              <w:rPr>
                <w:sz w:val="20"/>
              </w:rPr>
              <w:t>15.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Problems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memory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(e.g.,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learning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new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information) 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location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(e.g.,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finding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your way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home)?</w:t>
            </w:r>
          </w:p>
        </w:tc>
        <w:tc>
          <w:tcPr>
            <w:tcW w:w="540" w:type="dxa"/>
            <w:shd w:val="clear" w:color="auto" w:fill="DBE5F1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  <w:shd w:val="clear" w:color="auto" w:fill="DBE5F1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  <w:shd w:val="clear" w:color="auto" w:fill="DBE5F1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shd w:val="clear" w:color="auto" w:fill="DBE5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40" w:hRule="atLeast"/>
        </w:trPr>
        <w:tc>
          <w:tcPr>
            <w:tcW w:w="401" w:type="dxa"/>
            <w:vMerge w:val="restart"/>
          </w:tcPr>
          <w:p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X.</w:t>
            </w:r>
          </w:p>
        </w:tc>
        <w:tc>
          <w:tcPr>
            <w:tcW w:w="6570" w:type="dxa"/>
          </w:tcPr>
          <w:p>
            <w:pPr>
              <w:pStyle w:val="TableParagraph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16.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Unpleasant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thoughts,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urges,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images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repeatedly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enter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mind?</w:t>
            </w:r>
          </w:p>
        </w:tc>
        <w:tc>
          <w:tcPr>
            <w:tcW w:w="540" w:type="dxa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 w:val="restart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4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70" w:type="dxa"/>
          </w:tcPr>
          <w:p>
            <w:pPr>
              <w:pStyle w:val="TableParagraph"/>
              <w:ind w:left="372" w:hanging="296"/>
              <w:jc w:val="left"/>
              <w:rPr>
                <w:sz w:val="20"/>
              </w:rPr>
            </w:pPr>
            <w:r>
              <w:rPr>
                <w:sz w:val="20"/>
              </w:rPr>
              <w:t>17.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Feeling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driven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perform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certain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behaviors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mental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acts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over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over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again?</w:t>
            </w:r>
          </w:p>
        </w:tc>
        <w:tc>
          <w:tcPr>
            <w:tcW w:w="540" w:type="dxa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2" w:hRule="atLeast"/>
        </w:trPr>
        <w:tc>
          <w:tcPr>
            <w:tcW w:w="401" w:type="dxa"/>
            <w:shd w:val="clear" w:color="auto" w:fill="DBE5F1"/>
          </w:tcPr>
          <w:p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XI.</w:t>
            </w:r>
          </w:p>
        </w:tc>
        <w:tc>
          <w:tcPr>
            <w:tcW w:w="6570" w:type="dxa"/>
            <w:shd w:val="clear" w:color="auto" w:fill="DBE5F1"/>
          </w:tcPr>
          <w:p>
            <w:pPr>
              <w:pStyle w:val="TableParagraph"/>
              <w:ind w:left="372" w:hanging="296"/>
              <w:jc w:val="left"/>
              <w:rPr>
                <w:sz w:val="20"/>
              </w:rPr>
            </w:pPr>
            <w:r>
              <w:rPr>
                <w:sz w:val="20"/>
              </w:rPr>
              <w:t>18.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Feeling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detached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distant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from yourself,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body,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physical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surroundings,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memories?</w:t>
            </w:r>
          </w:p>
        </w:tc>
        <w:tc>
          <w:tcPr>
            <w:tcW w:w="540" w:type="dxa"/>
            <w:shd w:val="clear" w:color="auto" w:fill="DBE5F1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  <w:shd w:val="clear" w:color="auto" w:fill="DBE5F1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  <w:shd w:val="clear" w:color="auto" w:fill="DBE5F1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shd w:val="clear" w:color="auto" w:fill="DBE5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40" w:hRule="atLeast"/>
        </w:trPr>
        <w:tc>
          <w:tcPr>
            <w:tcW w:w="401" w:type="dxa"/>
            <w:vMerge w:val="restart"/>
          </w:tcPr>
          <w:p>
            <w:pPr>
              <w:pStyle w:val="TableParagraph"/>
              <w:spacing w:before="49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XII.</w:t>
            </w:r>
          </w:p>
        </w:tc>
        <w:tc>
          <w:tcPr>
            <w:tcW w:w="6570" w:type="dxa"/>
          </w:tcPr>
          <w:p>
            <w:pPr>
              <w:pStyle w:val="TableParagraph"/>
              <w:spacing w:before="49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19.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knowing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who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really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what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want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out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life?</w:t>
            </w:r>
          </w:p>
        </w:tc>
        <w:tc>
          <w:tcPr>
            <w:tcW w:w="540" w:type="dxa"/>
          </w:tcPr>
          <w:p>
            <w:pPr>
              <w:pStyle w:val="TableParagraph"/>
              <w:spacing w:before="49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</w:tcPr>
          <w:p>
            <w:pPr>
              <w:pStyle w:val="TableParagraph"/>
              <w:spacing w:before="49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</w:tcPr>
          <w:p>
            <w:pPr>
              <w:pStyle w:val="TableParagraph"/>
              <w:spacing w:before="49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</w:tcPr>
          <w:p>
            <w:pPr>
              <w:pStyle w:val="TableParagraph"/>
              <w:spacing w:before="4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</w:tcPr>
          <w:p>
            <w:pPr>
              <w:pStyle w:val="TableParagraph"/>
              <w:spacing w:before="49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 w:val="restart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41" w:hRule="atLeast"/>
        </w:trPr>
        <w:tc>
          <w:tcPr>
            <w:tcW w:w="4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70" w:type="dxa"/>
          </w:tcPr>
          <w:p>
            <w:pPr>
              <w:pStyle w:val="TableParagraph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20.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feeling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close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people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enjoying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relationships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them?</w:t>
            </w:r>
          </w:p>
        </w:tc>
        <w:tc>
          <w:tcPr>
            <w:tcW w:w="540" w:type="dxa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401" w:type="dxa"/>
            <w:vMerge w:val="restart"/>
            <w:shd w:val="clear" w:color="auto" w:fill="DBE5F1"/>
          </w:tcPr>
          <w:p>
            <w:pPr>
              <w:pStyle w:val="TableParagraph"/>
              <w:ind w:left="57"/>
              <w:jc w:val="left"/>
              <w:rPr>
                <w:sz w:val="20"/>
              </w:rPr>
            </w:pPr>
            <w:r>
              <w:rPr>
                <w:sz w:val="20"/>
              </w:rPr>
              <w:t>XIII.</w:t>
            </w:r>
          </w:p>
        </w:tc>
        <w:tc>
          <w:tcPr>
            <w:tcW w:w="6570" w:type="dxa"/>
            <w:shd w:val="clear" w:color="auto" w:fill="DBE5F1"/>
          </w:tcPr>
          <w:p>
            <w:pPr>
              <w:pStyle w:val="TableParagraph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21.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Drinking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least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drinks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kind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alcohol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single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day?</w:t>
            </w:r>
          </w:p>
        </w:tc>
        <w:tc>
          <w:tcPr>
            <w:tcW w:w="540" w:type="dxa"/>
            <w:shd w:val="clear" w:color="auto" w:fill="DBE5F1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  <w:shd w:val="clear" w:color="auto" w:fill="DBE5F1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  <w:shd w:val="clear" w:color="auto" w:fill="DBE5F1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 w:val="restart"/>
            <w:shd w:val="clear" w:color="auto" w:fill="DBE5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40" w:hRule="atLeast"/>
        </w:trPr>
        <w:tc>
          <w:tcPr>
            <w:tcW w:w="401" w:type="dxa"/>
            <w:vMerge/>
            <w:tcBorders>
              <w:top w:val="nil"/>
            </w:tcBorders>
            <w:shd w:val="clear" w:color="auto" w:fill="DBE5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70" w:type="dxa"/>
            <w:shd w:val="clear" w:color="auto" w:fill="DBE5F1"/>
          </w:tcPr>
          <w:p>
            <w:pPr>
              <w:pStyle w:val="TableParagraph"/>
              <w:ind w:left="76"/>
              <w:jc w:val="left"/>
              <w:rPr>
                <w:sz w:val="20"/>
              </w:rPr>
            </w:pPr>
            <w:r>
              <w:rPr>
                <w:sz w:val="20"/>
              </w:rPr>
              <w:t>22.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Smoking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cigarettes,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cigar,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pipe,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using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snuff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chewing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tobacco?</w:t>
            </w:r>
          </w:p>
        </w:tc>
        <w:tc>
          <w:tcPr>
            <w:tcW w:w="540" w:type="dxa"/>
            <w:shd w:val="clear" w:color="auto" w:fill="DBE5F1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  <w:shd w:val="clear" w:color="auto" w:fill="DBE5F1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  <w:shd w:val="clear" w:color="auto" w:fill="DBE5F1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/>
            <w:tcBorders>
              <w:top w:val="nil"/>
            </w:tcBorders>
            <w:shd w:val="clear" w:color="auto" w:fill="DBE5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61" w:hRule="atLeast"/>
        </w:trPr>
        <w:tc>
          <w:tcPr>
            <w:tcW w:w="401" w:type="dxa"/>
            <w:vMerge/>
            <w:tcBorders>
              <w:top w:val="nil"/>
            </w:tcBorders>
            <w:shd w:val="clear" w:color="auto" w:fill="DBE5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70" w:type="dxa"/>
            <w:shd w:val="clear" w:color="auto" w:fill="DBE5F1"/>
          </w:tcPr>
          <w:p>
            <w:pPr>
              <w:pStyle w:val="TableParagraph"/>
              <w:ind w:left="398" w:right="87" w:hanging="296"/>
              <w:jc w:val="left"/>
              <w:rPr>
                <w:sz w:val="20"/>
              </w:rPr>
            </w:pPr>
            <w:r>
              <w:rPr>
                <w:sz w:val="20"/>
              </w:rPr>
              <w:t>23. Using any of the following medicines ON YOUR OWN, that is, without 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doctor’s prescription, in greater amounts or longer than prescribed [e.g.,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painkillers (like Vicodin), stimulants (like Ritalin or Adderall), sedatives or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tranquilizers (like sleeping pills or Valium), or drugs like marijuana, cocaine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or crack, club drugs (like ecstasy), hallucinogens (like LSD), heroin,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inhalants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solvents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(like glue),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methamphetamine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(like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speed)]?</w:t>
            </w:r>
          </w:p>
        </w:tc>
        <w:tc>
          <w:tcPr>
            <w:tcW w:w="540" w:type="dxa"/>
            <w:shd w:val="clear" w:color="auto" w:fill="DBE5F1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2" w:type="dxa"/>
            <w:shd w:val="clear" w:color="auto" w:fill="DBE5F1"/>
          </w:tcPr>
          <w:p>
            <w:pPr>
              <w:pStyle w:val="TableParagraph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1" w:type="dxa"/>
            <w:shd w:val="clear" w:color="auto" w:fill="DBE5F1"/>
          </w:tcPr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0" w:type="dxa"/>
            <w:shd w:val="clear" w:color="auto" w:fill="DBE5F1"/>
          </w:tcPr>
          <w:p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1" w:type="dxa"/>
            <w:vMerge/>
            <w:tcBorders>
              <w:top w:val="nil"/>
            </w:tcBorders>
            <w:shd w:val="clear" w:color="auto" w:fill="DBE5F1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5"/>
          <w:type w:val="continuous"/>
          <w:pgSz w:w="12240" w:h="15840"/>
          <w:pgMar w:footer="591" w:top="560" w:bottom="780" w:left="420" w:right="280"/>
          <w:pgNumType w:start="1"/>
        </w:sectPr>
      </w:pPr>
    </w:p>
    <w:p>
      <w:pPr>
        <w:pStyle w:val="Heading1"/>
        <w:spacing w:before="33"/>
      </w:pPr>
      <w:r>
        <w:rPr/>
        <w:t>Instructions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Clinicians</w:t>
      </w:r>
    </w:p>
    <w:p>
      <w:pPr>
        <w:pStyle w:val="BodyText"/>
        <w:ind w:left="300" w:right="645"/>
      </w:pPr>
      <w:r>
        <w:rPr/>
        <w:t>The DSM-5 Level 1 Cross-Cutting Symptom Measure is a self- or informant-rated measure that assesses mental health</w:t>
      </w:r>
      <w:r>
        <w:rPr>
          <w:spacing w:val="1"/>
        </w:rPr>
        <w:t> </w:t>
      </w:r>
      <w:r>
        <w:rPr/>
        <w:t>domains that are important across psychiatric diagnoses. It is intended to help clinicians identify additional areas of inquiry</w:t>
      </w:r>
      <w:r>
        <w:rPr>
          <w:spacing w:val="1"/>
        </w:rPr>
        <w:t> </w:t>
      </w:r>
      <w:r>
        <w:rPr/>
        <w:t>that may have significant impact on the individual’s treatment and prognosis. In addition, the measure may be used to track</w:t>
      </w:r>
      <w:r>
        <w:rPr>
          <w:spacing w:val="-45"/>
        </w:rPr>
        <w:t> </w:t>
      </w:r>
      <w:r>
        <w:rPr/>
        <w:t>changes</w:t>
      </w:r>
      <w:r>
        <w:rPr>
          <w:spacing w:val="-1"/>
        </w:rPr>
        <w:t> </w:t>
      </w:r>
      <w:r>
        <w:rPr/>
        <w:t>in the individual’s</w:t>
      </w:r>
      <w:r>
        <w:rPr>
          <w:spacing w:val="-1"/>
        </w:rPr>
        <w:t> </w:t>
      </w:r>
      <w:r>
        <w:rPr/>
        <w:t>symptom</w:t>
      </w:r>
      <w:r>
        <w:rPr>
          <w:spacing w:val="-1"/>
        </w:rPr>
        <w:t> </w:t>
      </w:r>
      <w:r>
        <w:rPr/>
        <w:t>presentation over</w:t>
      </w:r>
      <w:r>
        <w:rPr>
          <w:spacing w:val="-2"/>
        </w:rPr>
        <w:t> </w:t>
      </w:r>
      <w:r>
        <w:rPr/>
        <w:t>time.</w:t>
      </w:r>
    </w:p>
    <w:p>
      <w:pPr>
        <w:pStyle w:val="BodyText"/>
      </w:pPr>
    </w:p>
    <w:p>
      <w:pPr>
        <w:pStyle w:val="BodyText"/>
        <w:ind w:left="300" w:right="443"/>
      </w:pPr>
      <w:r>
        <w:rPr/>
        <w:t>This adult version of the measure consists of 23 questions that assess 13 psychiatric domains, including depression, anger,</w:t>
      </w:r>
      <w:r>
        <w:rPr>
          <w:spacing w:val="1"/>
        </w:rPr>
        <w:t> </w:t>
      </w:r>
      <w:r>
        <w:rPr/>
        <w:t>mania, anxiety, somatic symptoms, suicidal ideation, psychosis, sleep problems, memory, repetitive thoughts and behaviors,</w:t>
      </w:r>
      <w:r>
        <w:rPr>
          <w:spacing w:val="1"/>
        </w:rPr>
        <w:t> </w:t>
      </w:r>
      <w:r>
        <w:rPr/>
        <w:t>dissociation, personality functioning, and substance use. Each item inquires about how much (or how often) the individual has</w:t>
      </w:r>
      <w:r>
        <w:rPr>
          <w:spacing w:val="-45"/>
        </w:rPr>
        <w:t> </w:t>
      </w:r>
      <w:r>
        <w:rPr/>
        <w:t>been bothered by the specific symptom </w:t>
      </w:r>
      <w:r>
        <w:rPr>
          <w:u w:val="single"/>
        </w:rPr>
        <w:t>during the past 2 weeks.</w:t>
      </w:r>
      <w:r>
        <w:rPr/>
        <w:t> If the individual is of impaired capacity and unable to</w:t>
      </w:r>
      <w:r>
        <w:rPr>
          <w:spacing w:val="1"/>
        </w:rPr>
        <w:t> </w:t>
      </w:r>
      <w:r>
        <w:rPr/>
        <w:t>complete the form (e.g., an individual with dementia), a knowledgeable adult informant may complete the measure. The</w:t>
      </w:r>
      <w:r>
        <w:rPr>
          <w:spacing w:val="1"/>
        </w:rPr>
        <w:t> </w:t>
      </w:r>
      <w:r>
        <w:rPr/>
        <w:t>measure was found to be clinically useful and to have good test-retest reliability in the DSM-5 Field Trials that were conducted</w:t>
      </w:r>
      <w:r>
        <w:rPr>
          <w:spacing w:val="-45"/>
        </w:rPr>
        <w:t> </w:t>
      </w:r>
      <w:r>
        <w:rPr/>
        <w:t>in</w:t>
      </w:r>
      <w:r>
        <w:rPr>
          <w:spacing w:val="-2"/>
        </w:rPr>
        <w:t> </w:t>
      </w:r>
      <w:r>
        <w:rPr/>
        <w:t>adult</w:t>
      </w:r>
      <w:r>
        <w:rPr>
          <w:spacing w:val="-2"/>
        </w:rPr>
        <w:t> </w:t>
      </w:r>
      <w:r>
        <w:rPr/>
        <w:t>clinical</w:t>
      </w:r>
      <w:r>
        <w:rPr>
          <w:spacing w:val="-1"/>
        </w:rPr>
        <w:t> </w:t>
      </w:r>
      <w:r>
        <w:rPr/>
        <w:t>samples</w:t>
      </w:r>
      <w:r>
        <w:rPr>
          <w:spacing w:val="-1"/>
        </w:rPr>
        <w:t> </w:t>
      </w:r>
      <w:r>
        <w:rPr/>
        <w:t>across</w:t>
      </w:r>
      <w:r>
        <w:rPr>
          <w:spacing w:val="-1"/>
        </w:rPr>
        <w:t> </w:t>
      </w:r>
      <w:r>
        <w:rPr/>
        <w:t>the United States</w:t>
      </w:r>
      <w:r>
        <w:rPr>
          <w:spacing w:val="-1"/>
        </w:rPr>
        <w:t> </w:t>
      </w:r>
      <w:r>
        <w:rPr/>
        <w:t>and in Canada.</w:t>
      </w:r>
    </w:p>
    <w:p>
      <w:pPr>
        <w:pStyle w:val="BodyText"/>
        <w:spacing w:before="11"/>
        <w:rPr>
          <w:sz w:val="20"/>
        </w:rPr>
      </w:pPr>
    </w:p>
    <w:p>
      <w:pPr>
        <w:pStyle w:val="Heading1"/>
      </w:pPr>
      <w:r>
        <w:rPr/>
        <w:t>Scoring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Interpretation</w:t>
      </w:r>
    </w:p>
    <w:p>
      <w:pPr>
        <w:pStyle w:val="BodyText"/>
        <w:spacing w:before="1"/>
        <w:ind w:left="300" w:right="435"/>
      </w:pPr>
      <w:r>
        <w:rPr/>
        <w:t>Each item on the measure is rated on a 5-point scale (0=none or not at all; 1=slight or rare, less than a day or two; 2=mild or</w:t>
      </w:r>
      <w:r>
        <w:rPr>
          <w:spacing w:val="1"/>
        </w:rPr>
        <w:t> </w:t>
      </w:r>
      <w:r>
        <w:rPr/>
        <w:t>several days; 3=moderate or more than half the days; and 4=severe or nearly every day). The score on each item within a</w:t>
      </w:r>
      <w:r>
        <w:rPr>
          <w:spacing w:val="1"/>
        </w:rPr>
        <w:t> </w:t>
      </w:r>
      <w:r>
        <w:rPr/>
        <w:t>domain should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reviewed.</w:t>
      </w:r>
      <w:r>
        <w:rPr>
          <w:spacing w:val="-1"/>
        </w:rPr>
        <w:t> </w:t>
      </w:r>
      <w:r>
        <w:rPr/>
        <w:t>Because</w:t>
      </w:r>
      <w:r>
        <w:rPr>
          <w:spacing w:val="-1"/>
        </w:rPr>
        <w:t> </w:t>
      </w:r>
      <w:r>
        <w:rPr/>
        <w:t>additional</w:t>
      </w:r>
      <w:r>
        <w:rPr>
          <w:spacing w:val="1"/>
        </w:rPr>
        <w:t> </w:t>
      </w:r>
      <w:r>
        <w:rPr/>
        <w:t>inquiry</w:t>
      </w:r>
      <w:r>
        <w:rPr>
          <w:spacing w:val="1"/>
        </w:rPr>
        <w:t> </w:t>
      </w:r>
      <w:r>
        <w:rPr/>
        <w:t>is based</w:t>
      </w:r>
      <w:r>
        <w:rPr>
          <w:spacing w:val="1"/>
        </w:rPr>
        <w:t> </w:t>
      </w:r>
      <w:r>
        <w:rPr/>
        <w:t>on the</w:t>
      </w:r>
      <w:r>
        <w:rPr>
          <w:spacing w:val="1"/>
        </w:rPr>
        <w:t> </w:t>
      </w:r>
      <w:r>
        <w:rPr/>
        <w:t>highest score</w:t>
      </w:r>
      <w:r>
        <w:rPr>
          <w:spacing w:val="-1"/>
        </w:rPr>
        <w:t> </w:t>
      </w:r>
      <w:r>
        <w:rPr/>
        <w:t>on any</w:t>
      </w:r>
      <w:r>
        <w:rPr>
          <w:spacing w:val="1"/>
        </w:rPr>
        <w:t> </w:t>
      </w:r>
      <w:r>
        <w:rPr/>
        <w:t>item</w:t>
      </w:r>
      <w:r>
        <w:rPr>
          <w:spacing w:val="-2"/>
        </w:rPr>
        <w:t> </w:t>
      </w:r>
      <w:r>
        <w:rPr/>
        <w:t>within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domain, the</w:t>
      </w:r>
      <w:r>
        <w:rPr>
          <w:spacing w:val="1"/>
        </w:rPr>
        <w:t> </w:t>
      </w:r>
      <w:r>
        <w:rPr/>
        <w:t>clinician is asked to indicate that score in the “Highest Domain Score” column. A rating of mild (i.e., 2) or greater on </w:t>
      </w:r>
      <w:r>
        <w:rPr>
          <w:u w:val="single"/>
        </w:rPr>
        <w:t>any item</w:t>
      </w:r>
      <w:r>
        <w:rPr>
          <w:spacing w:val="1"/>
        </w:rPr>
        <w:t> </w:t>
      </w:r>
      <w:r>
        <w:rPr>
          <w:u w:val="single"/>
        </w:rPr>
        <w:t>within a domain</w:t>
      </w:r>
      <w:r>
        <w:rPr/>
        <w:t> (except for substance use, suicidal ideation, and psychosis) may serve as a guide for additional inquiry and</w:t>
      </w:r>
      <w:r>
        <w:rPr>
          <w:spacing w:val="1"/>
        </w:rPr>
        <w:t> </w:t>
      </w:r>
      <w:r>
        <w:rPr/>
        <w:t>follow up to determine if a more detailed assessment for that domain is necessary. For substance use, suicidal ideation, and</w:t>
      </w:r>
      <w:r>
        <w:rPr>
          <w:spacing w:val="1"/>
        </w:rPr>
        <w:t> </w:t>
      </w:r>
      <w:r>
        <w:rPr/>
        <w:t>psychosis, a rating of slight (i.e., 1) or greater on any item within the domain may serve as a guide for additional inquiry and</w:t>
      </w:r>
      <w:r>
        <w:rPr>
          <w:spacing w:val="1"/>
        </w:rPr>
        <w:t> </w:t>
      </w:r>
      <w:r>
        <w:rPr/>
        <w:t>follow-up to determine if a more detailed assessment is needed. The DSM-5 Level 2 Cross-Cutting Symptom Measures may be</w:t>
      </w:r>
      <w:r>
        <w:rPr>
          <w:spacing w:val="1"/>
        </w:rPr>
        <w:t> </w:t>
      </w:r>
      <w:r>
        <w:rPr/>
        <w:t>used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provide</w:t>
      </w:r>
      <w:r>
        <w:rPr>
          <w:spacing w:val="-1"/>
        </w:rPr>
        <w:t> </w:t>
      </w:r>
      <w:r>
        <w:rPr/>
        <w:t>more</w:t>
      </w:r>
      <w:r>
        <w:rPr>
          <w:spacing w:val="-2"/>
        </w:rPr>
        <w:t> </w:t>
      </w:r>
      <w:r>
        <w:rPr/>
        <w:t>detailed</w:t>
      </w:r>
      <w:r>
        <w:rPr>
          <w:spacing w:val="-1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5"/>
        </w:rPr>
        <w:t> </w:t>
      </w:r>
      <w:r>
        <w:rPr/>
        <w:t>symptoms</w:t>
      </w:r>
      <w:r>
        <w:rPr>
          <w:spacing w:val="-2"/>
        </w:rPr>
        <w:t> </w:t>
      </w:r>
      <w:r>
        <w:rPr/>
        <w:t>associated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some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Level</w:t>
      </w:r>
      <w:r>
        <w:rPr>
          <w:spacing w:val="-2"/>
        </w:rPr>
        <w:t> </w:t>
      </w:r>
      <w:r>
        <w:rPr/>
        <w:t>1</w:t>
      </w:r>
      <w:r>
        <w:rPr>
          <w:spacing w:val="-1"/>
        </w:rPr>
        <w:t> </w:t>
      </w:r>
      <w:r>
        <w:rPr/>
        <w:t>domains</w:t>
      </w:r>
      <w:r>
        <w:rPr>
          <w:spacing w:val="-3"/>
        </w:rPr>
        <w:t> </w:t>
      </w:r>
      <w:r>
        <w:rPr/>
        <w:t>(see</w:t>
      </w:r>
      <w:r>
        <w:rPr>
          <w:spacing w:val="-2"/>
        </w:rPr>
        <w:t> </w:t>
      </w:r>
      <w:r>
        <w:rPr/>
        <w:t>Table</w:t>
      </w:r>
      <w:r>
        <w:rPr>
          <w:spacing w:val="-1"/>
        </w:rPr>
        <w:t> </w:t>
      </w:r>
      <w:r>
        <w:rPr/>
        <w:t>1</w:t>
      </w:r>
      <w:r>
        <w:rPr>
          <w:spacing w:val="-3"/>
        </w:rPr>
        <w:t> </w:t>
      </w:r>
      <w:r>
        <w:rPr/>
        <w:t>below).</w:t>
      </w:r>
    </w:p>
    <w:p>
      <w:pPr>
        <w:pStyle w:val="BodyText"/>
      </w:pPr>
    </w:p>
    <w:p>
      <w:pPr>
        <w:pStyle w:val="Heading1"/>
      </w:pPr>
      <w:r>
        <w:rPr/>
        <w:t>Frequency of</w:t>
      </w:r>
      <w:r>
        <w:rPr>
          <w:spacing w:val="-1"/>
        </w:rPr>
        <w:t> </w:t>
      </w:r>
      <w:r>
        <w:rPr/>
        <w:t>Use</w:t>
      </w:r>
    </w:p>
    <w:p>
      <w:pPr>
        <w:pStyle w:val="BodyText"/>
        <w:spacing w:before="1"/>
        <w:ind w:left="300" w:right="485"/>
      </w:pPr>
      <w:r>
        <w:rPr/>
        <w:t>To track change in the individual’s symptom presentation over time, the measure may be completed at regular intervals as</w:t>
      </w:r>
      <w:r>
        <w:rPr>
          <w:spacing w:val="1"/>
        </w:rPr>
        <w:t> </w:t>
      </w:r>
      <w:r>
        <w:rPr/>
        <w:t>clinically indicated, depending on the stability of the individual’s symptoms and treatment status. For individuals with</w:t>
      </w:r>
      <w:r>
        <w:rPr>
          <w:spacing w:val="1"/>
        </w:rPr>
        <w:t> </w:t>
      </w:r>
      <w:r>
        <w:rPr/>
        <w:t>impaired capacity, it is preferable that the same knowledgeable informant completes the measures at follow-up</w:t>
      </w:r>
      <w:r>
        <w:rPr>
          <w:spacing w:val="1"/>
        </w:rPr>
        <w:t> </w:t>
      </w:r>
      <w:r>
        <w:rPr/>
        <w:t>appointments. Consistently high scores on a particular domain may indicate significant and problematic symptoms for the</w:t>
      </w:r>
      <w:r>
        <w:rPr>
          <w:spacing w:val="1"/>
        </w:rPr>
        <w:t> </w:t>
      </w:r>
      <w:r>
        <w:rPr/>
        <w:t>individual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might</w:t>
      </w:r>
      <w:r>
        <w:rPr>
          <w:spacing w:val="-4"/>
        </w:rPr>
        <w:t> </w:t>
      </w:r>
      <w:r>
        <w:rPr/>
        <w:t>warrant</w:t>
      </w:r>
      <w:r>
        <w:rPr>
          <w:spacing w:val="-2"/>
        </w:rPr>
        <w:t> </w:t>
      </w:r>
      <w:r>
        <w:rPr/>
        <w:t>further</w:t>
      </w:r>
      <w:r>
        <w:rPr>
          <w:spacing w:val="-4"/>
        </w:rPr>
        <w:t> </w:t>
      </w:r>
      <w:r>
        <w:rPr/>
        <w:t>assessment,</w:t>
      </w:r>
      <w:r>
        <w:rPr>
          <w:spacing w:val="-2"/>
        </w:rPr>
        <w:t> </w:t>
      </w:r>
      <w:r>
        <w:rPr/>
        <w:t>treatment,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follow-up.</w:t>
      </w:r>
      <w:r>
        <w:rPr>
          <w:spacing w:val="-5"/>
        </w:rPr>
        <w:t> </w:t>
      </w:r>
      <w:r>
        <w:rPr/>
        <w:t>Clinical</w:t>
      </w:r>
      <w:r>
        <w:rPr>
          <w:spacing w:val="-2"/>
        </w:rPr>
        <w:t> </w:t>
      </w:r>
      <w:r>
        <w:rPr/>
        <w:t>judgment</w:t>
      </w:r>
      <w:r>
        <w:rPr>
          <w:spacing w:val="-3"/>
        </w:rPr>
        <w:t> </w:t>
      </w:r>
      <w:r>
        <w:rPr/>
        <w:t>should</w:t>
      </w:r>
      <w:r>
        <w:rPr>
          <w:spacing w:val="-1"/>
        </w:rPr>
        <w:t> </w:t>
      </w:r>
      <w:r>
        <w:rPr/>
        <w:t>guide</w:t>
      </w:r>
      <w:r>
        <w:rPr>
          <w:spacing w:val="-2"/>
        </w:rPr>
        <w:t> </w:t>
      </w:r>
      <w:r>
        <w:rPr/>
        <w:t>decision</w:t>
      </w:r>
      <w:r>
        <w:rPr>
          <w:spacing w:val="-1"/>
        </w:rPr>
        <w:t> </w:t>
      </w:r>
      <w:r>
        <w:rPr/>
        <w:t>making.</w:t>
      </w:r>
    </w:p>
    <w:p>
      <w:pPr>
        <w:pStyle w:val="BodyText"/>
      </w:pPr>
    </w:p>
    <w:p>
      <w:pPr>
        <w:pStyle w:val="Heading1"/>
        <w:spacing w:after="5"/>
        <w:ind w:right="916"/>
      </w:pPr>
      <w:r>
        <w:rPr/>
        <w:t>Table 1: Adult DSM-5 Self-Rated Level 1 Cross-Cutting Symptom Measure: domains, thresholds for further inquiry, and</w:t>
      </w:r>
      <w:r>
        <w:rPr>
          <w:spacing w:val="-45"/>
        </w:rPr>
        <w:t> </w:t>
      </w:r>
      <w:r>
        <w:rPr/>
        <w:t>associated</w:t>
      </w:r>
      <w:r>
        <w:rPr>
          <w:spacing w:val="-3"/>
        </w:rPr>
        <w:t> </w:t>
      </w:r>
      <w:r>
        <w:rPr/>
        <w:t>Level</w:t>
      </w:r>
      <w:r>
        <w:rPr>
          <w:spacing w:val="-2"/>
        </w:rPr>
        <w:t> </w:t>
      </w:r>
      <w:r>
        <w:rPr/>
        <w:t>2</w:t>
      </w:r>
      <w:r>
        <w:rPr>
          <w:spacing w:val="-1"/>
        </w:rPr>
        <w:t> </w:t>
      </w:r>
      <w:r>
        <w:rPr/>
        <w:t>measures for adults</w:t>
      </w:r>
      <w:r>
        <w:rPr>
          <w:spacing w:val="1"/>
        </w:rPr>
        <w:t> </w:t>
      </w:r>
      <w:r>
        <w:rPr/>
        <w:t>ages</w:t>
      </w:r>
      <w:r>
        <w:rPr>
          <w:spacing w:val="-3"/>
        </w:rPr>
        <w:t> </w:t>
      </w:r>
      <w:r>
        <w:rPr/>
        <w:t>18 and</w:t>
      </w:r>
      <w:r>
        <w:rPr>
          <w:spacing w:val="-1"/>
        </w:rPr>
        <w:t> </w:t>
      </w:r>
      <w:r>
        <w:rPr/>
        <w:t>over</w:t>
      </w:r>
    </w:p>
    <w:tbl>
      <w:tblPr>
        <w:tblW w:w="0" w:type="auto"/>
        <w:jc w:val="left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6"/>
        <w:gridCol w:w="1792"/>
        <w:gridCol w:w="1620"/>
        <w:gridCol w:w="6841"/>
      </w:tblGrid>
      <w:tr>
        <w:trPr>
          <w:trHeight w:val="486" w:hRule="atLeast"/>
        </w:trPr>
        <w:tc>
          <w:tcPr>
            <w:tcW w:w="696" w:type="dxa"/>
          </w:tcPr>
          <w:p>
            <w:pPr>
              <w:pStyle w:val="TableParagraph"/>
              <w:spacing w:line="243" w:lineRule="exact" w:before="0"/>
              <w:ind w:left="2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Domain</w:t>
            </w:r>
          </w:p>
        </w:tc>
        <w:tc>
          <w:tcPr>
            <w:tcW w:w="1792" w:type="dxa"/>
          </w:tcPr>
          <w:p>
            <w:pPr>
              <w:pStyle w:val="TableParagraph"/>
              <w:spacing w:line="243" w:lineRule="exact" w:before="0"/>
              <w:ind w:left="66" w:right="44"/>
              <w:rPr>
                <w:b/>
                <w:sz w:val="20"/>
              </w:rPr>
            </w:pPr>
            <w:r>
              <w:rPr>
                <w:b/>
                <w:sz w:val="20"/>
              </w:rPr>
              <w:t>Domain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Name</w:t>
            </w:r>
          </w:p>
        </w:tc>
        <w:tc>
          <w:tcPr>
            <w:tcW w:w="1620" w:type="dxa"/>
          </w:tcPr>
          <w:p>
            <w:pPr>
              <w:pStyle w:val="TableParagraph"/>
              <w:spacing w:line="242" w:lineRule="exact" w:before="0"/>
              <w:ind w:left="14" w:right="6"/>
              <w:rPr>
                <w:b/>
                <w:sz w:val="20"/>
              </w:rPr>
            </w:pPr>
            <w:r>
              <w:rPr>
                <w:b/>
                <w:sz w:val="20"/>
              </w:rPr>
              <w:t>Threshold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guide</w:t>
            </w:r>
          </w:p>
          <w:p>
            <w:pPr>
              <w:pStyle w:val="TableParagraph"/>
              <w:spacing w:line="225" w:lineRule="exact" w:before="0"/>
              <w:ind w:left="14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further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inquiry</w:t>
            </w:r>
          </w:p>
        </w:tc>
        <w:tc>
          <w:tcPr>
            <w:tcW w:w="6841" w:type="dxa"/>
          </w:tcPr>
          <w:p>
            <w:pPr>
              <w:pStyle w:val="TableParagraph"/>
              <w:spacing w:line="243" w:lineRule="exact" w:before="0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DSM-5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Level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Cross-Cutting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Symptom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Measure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available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online</w:t>
            </w:r>
          </w:p>
        </w:tc>
      </w:tr>
      <w:tr>
        <w:trPr>
          <w:trHeight w:val="489" w:hRule="atLeast"/>
        </w:trPr>
        <w:tc>
          <w:tcPr>
            <w:tcW w:w="696" w:type="dxa"/>
          </w:tcPr>
          <w:p>
            <w:pPr>
              <w:pStyle w:val="TableParagraph"/>
              <w:spacing w:line="243" w:lineRule="exact" w:before="0"/>
              <w:ind w:left="28"/>
              <w:jc w:val="left"/>
              <w:rPr>
                <w:sz w:val="20"/>
              </w:rPr>
            </w:pPr>
            <w:r>
              <w:rPr>
                <w:sz w:val="20"/>
              </w:rPr>
              <w:t>I.</w:t>
            </w:r>
          </w:p>
        </w:tc>
        <w:tc>
          <w:tcPr>
            <w:tcW w:w="1792" w:type="dxa"/>
          </w:tcPr>
          <w:p>
            <w:pPr>
              <w:pStyle w:val="TableParagraph"/>
              <w:spacing w:line="243" w:lineRule="exact" w:before="0"/>
              <w:ind w:left="65" w:right="44"/>
              <w:rPr>
                <w:sz w:val="20"/>
              </w:rPr>
            </w:pPr>
            <w:r>
              <w:rPr>
                <w:sz w:val="20"/>
              </w:rPr>
              <w:t>Depression</w:t>
            </w:r>
          </w:p>
        </w:tc>
        <w:tc>
          <w:tcPr>
            <w:tcW w:w="1620" w:type="dxa"/>
          </w:tcPr>
          <w:p>
            <w:pPr>
              <w:pStyle w:val="TableParagraph"/>
              <w:spacing w:line="243" w:lineRule="exact" w:before="0"/>
              <w:ind w:left="12" w:right="6"/>
              <w:rPr>
                <w:sz w:val="20"/>
              </w:rPr>
            </w:pPr>
            <w:r>
              <w:rPr>
                <w:sz w:val="20"/>
              </w:rPr>
              <w:t>Mild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greater</w:t>
            </w:r>
          </w:p>
        </w:tc>
        <w:tc>
          <w:tcPr>
            <w:tcW w:w="6841" w:type="dxa"/>
          </w:tcPr>
          <w:p>
            <w:pPr>
              <w:pStyle w:val="TableParagraph"/>
              <w:spacing w:line="243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LEVEL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2—Depression—Adult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(PROMIS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Emotional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Distress—Depression—Short</w:t>
            </w:r>
          </w:p>
          <w:p>
            <w:pPr>
              <w:pStyle w:val="TableParagraph"/>
              <w:spacing w:line="225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Form)</w:t>
            </w:r>
            <w:r>
              <w:rPr>
                <w:sz w:val="20"/>
                <w:vertAlign w:val="superscript"/>
              </w:rPr>
              <w:t>1</w:t>
            </w:r>
          </w:p>
        </w:tc>
      </w:tr>
      <w:tr>
        <w:trPr>
          <w:trHeight w:val="244" w:hRule="atLeast"/>
        </w:trPr>
        <w:tc>
          <w:tcPr>
            <w:tcW w:w="696" w:type="dxa"/>
          </w:tcPr>
          <w:p>
            <w:pPr>
              <w:pStyle w:val="TableParagraph"/>
              <w:spacing w:line="224" w:lineRule="exact" w:before="0"/>
              <w:ind w:left="28"/>
              <w:jc w:val="left"/>
              <w:rPr>
                <w:sz w:val="20"/>
              </w:rPr>
            </w:pPr>
            <w:r>
              <w:rPr>
                <w:sz w:val="20"/>
              </w:rPr>
              <w:t>II.</w:t>
            </w:r>
          </w:p>
        </w:tc>
        <w:tc>
          <w:tcPr>
            <w:tcW w:w="1792" w:type="dxa"/>
          </w:tcPr>
          <w:p>
            <w:pPr>
              <w:pStyle w:val="TableParagraph"/>
              <w:spacing w:line="224" w:lineRule="exact" w:before="0"/>
              <w:ind w:left="64" w:right="44"/>
              <w:rPr>
                <w:sz w:val="20"/>
              </w:rPr>
            </w:pPr>
            <w:r>
              <w:rPr>
                <w:sz w:val="20"/>
              </w:rPr>
              <w:t>Anger</w:t>
            </w:r>
          </w:p>
        </w:tc>
        <w:tc>
          <w:tcPr>
            <w:tcW w:w="1620" w:type="dxa"/>
          </w:tcPr>
          <w:p>
            <w:pPr>
              <w:pStyle w:val="TableParagraph"/>
              <w:spacing w:line="224" w:lineRule="exact" w:before="0"/>
              <w:ind w:left="12" w:right="6"/>
              <w:rPr>
                <w:sz w:val="20"/>
              </w:rPr>
            </w:pPr>
            <w:r>
              <w:rPr>
                <w:sz w:val="20"/>
              </w:rPr>
              <w:t>Mild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greater</w:t>
            </w:r>
          </w:p>
        </w:tc>
        <w:tc>
          <w:tcPr>
            <w:tcW w:w="6841" w:type="dxa"/>
          </w:tcPr>
          <w:p>
            <w:pPr>
              <w:pStyle w:val="TableParagraph"/>
              <w:spacing w:line="224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LEVEL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2—Anger—Adult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(PROMIS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Emotional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Distress—Anger—Short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Form)</w:t>
            </w:r>
            <w:r>
              <w:rPr>
                <w:sz w:val="20"/>
                <w:vertAlign w:val="superscript"/>
              </w:rPr>
              <w:t>1</w:t>
            </w:r>
          </w:p>
        </w:tc>
      </w:tr>
      <w:tr>
        <w:trPr>
          <w:trHeight w:val="244" w:hRule="atLeast"/>
        </w:trPr>
        <w:tc>
          <w:tcPr>
            <w:tcW w:w="696" w:type="dxa"/>
          </w:tcPr>
          <w:p>
            <w:pPr>
              <w:pStyle w:val="TableParagraph"/>
              <w:spacing w:line="224" w:lineRule="exact" w:before="0"/>
              <w:ind w:left="28"/>
              <w:jc w:val="left"/>
              <w:rPr>
                <w:sz w:val="20"/>
              </w:rPr>
            </w:pPr>
            <w:r>
              <w:rPr>
                <w:sz w:val="20"/>
              </w:rPr>
              <w:t>III.</w:t>
            </w:r>
          </w:p>
        </w:tc>
        <w:tc>
          <w:tcPr>
            <w:tcW w:w="1792" w:type="dxa"/>
          </w:tcPr>
          <w:p>
            <w:pPr>
              <w:pStyle w:val="TableParagraph"/>
              <w:spacing w:line="224" w:lineRule="exact" w:before="0"/>
              <w:ind w:left="66" w:right="44"/>
              <w:rPr>
                <w:sz w:val="20"/>
              </w:rPr>
            </w:pPr>
            <w:r>
              <w:rPr>
                <w:sz w:val="20"/>
              </w:rPr>
              <w:t>Mania</w:t>
            </w:r>
          </w:p>
        </w:tc>
        <w:tc>
          <w:tcPr>
            <w:tcW w:w="1620" w:type="dxa"/>
          </w:tcPr>
          <w:p>
            <w:pPr>
              <w:pStyle w:val="TableParagraph"/>
              <w:spacing w:line="224" w:lineRule="exact" w:before="0"/>
              <w:ind w:left="12" w:right="6"/>
              <w:rPr>
                <w:sz w:val="20"/>
              </w:rPr>
            </w:pPr>
            <w:r>
              <w:rPr>
                <w:sz w:val="20"/>
              </w:rPr>
              <w:t>Mild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greater</w:t>
            </w:r>
          </w:p>
        </w:tc>
        <w:tc>
          <w:tcPr>
            <w:tcW w:w="6841" w:type="dxa"/>
          </w:tcPr>
          <w:p>
            <w:pPr>
              <w:pStyle w:val="TableParagraph"/>
              <w:spacing w:line="224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LEVEL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2—Mania—Adult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(Altman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Self-Rating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Scale)</w:t>
            </w:r>
          </w:p>
        </w:tc>
      </w:tr>
      <w:tr>
        <w:trPr>
          <w:trHeight w:val="244" w:hRule="atLeast"/>
        </w:trPr>
        <w:tc>
          <w:tcPr>
            <w:tcW w:w="696" w:type="dxa"/>
          </w:tcPr>
          <w:p>
            <w:pPr>
              <w:pStyle w:val="TableParagraph"/>
              <w:spacing w:line="224" w:lineRule="exact" w:before="0"/>
              <w:ind w:left="28"/>
              <w:jc w:val="left"/>
              <w:rPr>
                <w:sz w:val="20"/>
              </w:rPr>
            </w:pPr>
            <w:r>
              <w:rPr>
                <w:sz w:val="20"/>
              </w:rPr>
              <w:t>IV.</w:t>
            </w:r>
          </w:p>
        </w:tc>
        <w:tc>
          <w:tcPr>
            <w:tcW w:w="1792" w:type="dxa"/>
          </w:tcPr>
          <w:p>
            <w:pPr>
              <w:pStyle w:val="TableParagraph"/>
              <w:spacing w:line="224" w:lineRule="exact" w:before="0"/>
              <w:ind w:left="65" w:right="44"/>
              <w:rPr>
                <w:sz w:val="20"/>
              </w:rPr>
            </w:pPr>
            <w:r>
              <w:rPr>
                <w:sz w:val="20"/>
              </w:rPr>
              <w:t>Anxiety</w:t>
            </w:r>
          </w:p>
        </w:tc>
        <w:tc>
          <w:tcPr>
            <w:tcW w:w="1620" w:type="dxa"/>
          </w:tcPr>
          <w:p>
            <w:pPr>
              <w:pStyle w:val="TableParagraph"/>
              <w:spacing w:line="224" w:lineRule="exact" w:before="0"/>
              <w:ind w:left="12" w:right="6"/>
              <w:rPr>
                <w:sz w:val="20"/>
              </w:rPr>
            </w:pPr>
            <w:r>
              <w:rPr>
                <w:sz w:val="20"/>
              </w:rPr>
              <w:t>Mild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greater</w:t>
            </w:r>
          </w:p>
        </w:tc>
        <w:tc>
          <w:tcPr>
            <w:tcW w:w="6841" w:type="dxa"/>
          </w:tcPr>
          <w:p>
            <w:pPr>
              <w:pStyle w:val="TableParagraph"/>
              <w:spacing w:line="224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LEVEL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2—Anxiety—Adult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(PROMIS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Emotional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Distress—Anxiety—Short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Form)</w:t>
            </w:r>
            <w:r>
              <w:rPr>
                <w:sz w:val="20"/>
                <w:vertAlign w:val="superscript"/>
              </w:rPr>
              <w:t>1</w:t>
            </w:r>
          </w:p>
        </w:tc>
      </w:tr>
      <w:tr>
        <w:trPr>
          <w:trHeight w:val="486" w:hRule="atLeast"/>
        </w:trPr>
        <w:tc>
          <w:tcPr>
            <w:tcW w:w="696" w:type="dxa"/>
          </w:tcPr>
          <w:p>
            <w:pPr>
              <w:pStyle w:val="TableParagraph"/>
              <w:spacing w:line="243" w:lineRule="exact" w:before="0"/>
              <w:ind w:left="28"/>
              <w:jc w:val="left"/>
              <w:rPr>
                <w:sz w:val="20"/>
              </w:rPr>
            </w:pPr>
            <w:r>
              <w:rPr>
                <w:sz w:val="20"/>
              </w:rPr>
              <w:t>V.</w:t>
            </w:r>
          </w:p>
        </w:tc>
        <w:tc>
          <w:tcPr>
            <w:tcW w:w="1792" w:type="dxa"/>
          </w:tcPr>
          <w:p>
            <w:pPr>
              <w:pStyle w:val="TableParagraph"/>
              <w:spacing w:line="243" w:lineRule="exact" w:before="0"/>
              <w:ind w:left="67" w:right="44"/>
              <w:rPr>
                <w:sz w:val="20"/>
              </w:rPr>
            </w:pPr>
            <w:r>
              <w:rPr>
                <w:sz w:val="20"/>
              </w:rPr>
              <w:t>Somatic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Symptoms</w:t>
            </w:r>
          </w:p>
        </w:tc>
        <w:tc>
          <w:tcPr>
            <w:tcW w:w="1620" w:type="dxa"/>
          </w:tcPr>
          <w:p>
            <w:pPr>
              <w:pStyle w:val="TableParagraph"/>
              <w:spacing w:line="243" w:lineRule="exact" w:before="0"/>
              <w:ind w:left="14" w:right="4"/>
              <w:rPr>
                <w:sz w:val="20"/>
              </w:rPr>
            </w:pPr>
            <w:r>
              <w:rPr>
                <w:sz w:val="20"/>
              </w:rPr>
              <w:t>Mild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greater</w:t>
            </w:r>
          </w:p>
        </w:tc>
        <w:tc>
          <w:tcPr>
            <w:tcW w:w="6841" w:type="dxa"/>
          </w:tcPr>
          <w:p>
            <w:pPr>
              <w:pStyle w:val="TableParagraph"/>
              <w:spacing w:line="242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LEVEL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2—Somatic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Symptom—Adult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(Patient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Health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Questionnaire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Somatic</w:t>
            </w:r>
          </w:p>
          <w:p>
            <w:pPr>
              <w:pStyle w:val="TableParagraph"/>
              <w:spacing w:line="225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Symptom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Severity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[PHQ-15])</w:t>
            </w:r>
          </w:p>
        </w:tc>
      </w:tr>
      <w:tr>
        <w:trPr>
          <w:trHeight w:val="244" w:hRule="atLeast"/>
        </w:trPr>
        <w:tc>
          <w:tcPr>
            <w:tcW w:w="696" w:type="dxa"/>
          </w:tcPr>
          <w:p>
            <w:pPr>
              <w:pStyle w:val="TableParagraph"/>
              <w:spacing w:line="224" w:lineRule="exact" w:before="0"/>
              <w:ind w:left="28"/>
              <w:jc w:val="left"/>
              <w:rPr>
                <w:sz w:val="20"/>
              </w:rPr>
            </w:pPr>
            <w:r>
              <w:rPr>
                <w:sz w:val="20"/>
              </w:rPr>
              <w:t>VI.</w:t>
            </w:r>
          </w:p>
        </w:tc>
        <w:tc>
          <w:tcPr>
            <w:tcW w:w="1792" w:type="dxa"/>
          </w:tcPr>
          <w:p>
            <w:pPr>
              <w:pStyle w:val="TableParagraph"/>
              <w:spacing w:line="224" w:lineRule="exact" w:before="0"/>
              <w:ind w:left="65" w:right="44"/>
              <w:rPr>
                <w:sz w:val="20"/>
              </w:rPr>
            </w:pPr>
            <w:r>
              <w:rPr>
                <w:sz w:val="20"/>
              </w:rPr>
              <w:t>Suicidal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Ideation</w:t>
            </w:r>
          </w:p>
        </w:tc>
        <w:tc>
          <w:tcPr>
            <w:tcW w:w="1620" w:type="dxa"/>
          </w:tcPr>
          <w:p>
            <w:pPr>
              <w:pStyle w:val="TableParagraph"/>
              <w:spacing w:line="224" w:lineRule="exact" w:before="0"/>
              <w:ind w:left="12" w:right="6"/>
              <w:rPr>
                <w:sz w:val="20"/>
              </w:rPr>
            </w:pPr>
            <w:r>
              <w:rPr>
                <w:sz w:val="20"/>
              </w:rPr>
              <w:t>Slight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greater</w:t>
            </w:r>
          </w:p>
        </w:tc>
        <w:tc>
          <w:tcPr>
            <w:tcW w:w="6841" w:type="dxa"/>
          </w:tcPr>
          <w:p>
            <w:pPr>
              <w:pStyle w:val="TableParagraph"/>
              <w:spacing w:line="224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None</w:t>
            </w:r>
          </w:p>
        </w:tc>
      </w:tr>
      <w:tr>
        <w:trPr>
          <w:trHeight w:val="244" w:hRule="atLeast"/>
        </w:trPr>
        <w:tc>
          <w:tcPr>
            <w:tcW w:w="696" w:type="dxa"/>
          </w:tcPr>
          <w:p>
            <w:pPr>
              <w:pStyle w:val="TableParagraph"/>
              <w:spacing w:line="224" w:lineRule="exact" w:before="0"/>
              <w:ind w:left="28"/>
              <w:jc w:val="left"/>
              <w:rPr>
                <w:sz w:val="20"/>
              </w:rPr>
            </w:pPr>
            <w:r>
              <w:rPr>
                <w:sz w:val="20"/>
              </w:rPr>
              <w:t>VII.</w:t>
            </w:r>
          </w:p>
        </w:tc>
        <w:tc>
          <w:tcPr>
            <w:tcW w:w="1792" w:type="dxa"/>
          </w:tcPr>
          <w:p>
            <w:pPr>
              <w:pStyle w:val="TableParagraph"/>
              <w:spacing w:line="224" w:lineRule="exact" w:before="0"/>
              <w:ind w:left="68" w:right="44"/>
              <w:rPr>
                <w:sz w:val="20"/>
              </w:rPr>
            </w:pPr>
            <w:r>
              <w:rPr>
                <w:sz w:val="20"/>
              </w:rPr>
              <w:t>Psychosis</w:t>
            </w:r>
          </w:p>
        </w:tc>
        <w:tc>
          <w:tcPr>
            <w:tcW w:w="1620" w:type="dxa"/>
          </w:tcPr>
          <w:p>
            <w:pPr>
              <w:pStyle w:val="TableParagraph"/>
              <w:spacing w:line="224" w:lineRule="exact" w:before="0"/>
              <w:ind w:left="12" w:right="6"/>
              <w:rPr>
                <w:sz w:val="20"/>
              </w:rPr>
            </w:pPr>
            <w:r>
              <w:rPr>
                <w:sz w:val="20"/>
              </w:rPr>
              <w:t>Slight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greater</w:t>
            </w:r>
          </w:p>
        </w:tc>
        <w:tc>
          <w:tcPr>
            <w:tcW w:w="6841" w:type="dxa"/>
          </w:tcPr>
          <w:p>
            <w:pPr>
              <w:pStyle w:val="TableParagraph"/>
              <w:spacing w:line="224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None</w:t>
            </w:r>
          </w:p>
        </w:tc>
      </w:tr>
      <w:tr>
        <w:trPr>
          <w:trHeight w:val="244" w:hRule="atLeast"/>
        </w:trPr>
        <w:tc>
          <w:tcPr>
            <w:tcW w:w="696" w:type="dxa"/>
          </w:tcPr>
          <w:p>
            <w:pPr>
              <w:pStyle w:val="TableParagraph"/>
              <w:spacing w:line="225" w:lineRule="exact" w:before="0"/>
              <w:ind w:left="28"/>
              <w:jc w:val="left"/>
              <w:rPr>
                <w:sz w:val="20"/>
              </w:rPr>
            </w:pPr>
            <w:r>
              <w:rPr>
                <w:sz w:val="20"/>
              </w:rPr>
              <w:t>VIII.</w:t>
            </w:r>
          </w:p>
        </w:tc>
        <w:tc>
          <w:tcPr>
            <w:tcW w:w="1792" w:type="dxa"/>
          </w:tcPr>
          <w:p>
            <w:pPr>
              <w:pStyle w:val="TableParagraph"/>
              <w:spacing w:line="225" w:lineRule="exact" w:before="0"/>
              <w:ind w:left="67" w:right="44"/>
              <w:rPr>
                <w:sz w:val="20"/>
              </w:rPr>
            </w:pPr>
            <w:r>
              <w:rPr>
                <w:sz w:val="20"/>
              </w:rPr>
              <w:t>Sleep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Problems</w:t>
            </w:r>
          </w:p>
        </w:tc>
        <w:tc>
          <w:tcPr>
            <w:tcW w:w="1620" w:type="dxa"/>
          </w:tcPr>
          <w:p>
            <w:pPr>
              <w:pStyle w:val="TableParagraph"/>
              <w:spacing w:line="225" w:lineRule="exact" w:before="0"/>
              <w:ind w:left="12" w:right="6"/>
              <w:rPr>
                <w:sz w:val="20"/>
              </w:rPr>
            </w:pPr>
            <w:r>
              <w:rPr>
                <w:sz w:val="20"/>
              </w:rPr>
              <w:t>Mild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greater</w:t>
            </w:r>
          </w:p>
        </w:tc>
        <w:tc>
          <w:tcPr>
            <w:tcW w:w="6841" w:type="dxa"/>
          </w:tcPr>
          <w:p>
            <w:pPr>
              <w:pStyle w:val="TableParagraph"/>
              <w:spacing w:line="225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LEVEL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2—Sleep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Disturbance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Adult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(PROMIS—Sleep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Disturbance—Short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Form)</w:t>
            </w:r>
            <w:r>
              <w:rPr>
                <w:sz w:val="20"/>
                <w:vertAlign w:val="superscript"/>
              </w:rPr>
              <w:t>1</w:t>
            </w:r>
          </w:p>
        </w:tc>
      </w:tr>
      <w:tr>
        <w:trPr>
          <w:trHeight w:val="244" w:hRule="atLeast"/>
        </w:trPr>
        <w:tc>
          <w:tcPr>
            <w:tcW w:w="696" w:type="dxa"/>
          </w:tcPr>
          <w:p>
            <w:pPr>
              <w:pStyle w:val="TableParagraph"/>
              <w:spacing w:line="224" w:lineRule="exact" w:before="0"/>
              <w:ind w:left="28"/>
              <w:jc w:val="left"/>
              <w:rPr>
                <w:sz w:val="20"/>
              </w:rPr>
            </w:pPr>
            <w:r>
              <w:rPr>
                <w:sz w:val="20"/>
              </w:rPr>
              <w:t>IX.</w:t>
            </w:r>
          </w:p>
        </w:tc>
        <w:tc>
          <w:tcPr>
            <w:tcW w:w="1792" w:type="dxa"/>
          </w:tcPr>
          <w:p>
            <w:pPr>
              <w:pStyle w:val="TableParagraph"/>
              <w:spacing w:line="224" w:lineRule="exact" w:before="0"/>
              <w:ind w:left="63" w:right="44"/>
              <w:rPr>
                <w:sz w:val="20"/>
              </w:rPr>
            </w:pPr>
            <w:r>
              <w:rPr>
                <w:sz w:val="20"/>
              </w:rPr>
              <w:t>Memory</w:t>
            </w:r>
          </w:p>
        </w:tc>
        <w:tc>
          <w:tcPr>
            <w:tcW w:w="1620" w:type="dxa"/>
          </w:tcPr>
          <w:p>
            <w:pPr>
              <w:pStyle w:val="TableParagraph"/>
              <w:spacing w:line="224" w:lineRule="exact" w:before="0"/>
              <w:ind w:left="12" w:right="6"/>
              <w:rPr>
                <w:sz w:val="20"/>
              </w:rPr>
            </w:pPr>
            <w:r>
              <w:rPr>
                <w:sz w:val="20"/>
              </w:rPr>
              <w:t>Mild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greater</w:t>
            </w:r>
          </w:p>
        </w:tc>
        <w:tc>
          <w:tcPr>
            <w:tcW w:w="6841" w:type="dxa"/>
          </w:tcPr>
          <w:p>
            <w:pPr>
              <w:pStyle w:val="TableParagraph"/>
              <w:spacing w:line="224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None</w:t>
            </w:r>
          </w:p>
        </w:tc>
      </w:tr>
      <w:tr>
        <w:trPr>
          <w:trHeight w:val="486" w:hRule="atLeast"/>
        </w:trPr>
        <w:tc>
          <w:tcPr>
            <w:tcW w:w="696" w:type="dxa"/>
          </w:tcPr>
          <w:p>
            <w:pPr>
              <w:pStyle w:val="TableParagraph"/>
              <w:spacing w:line="243" w:lineRule="exact" w:before="0"/>
              <w:ind w:left="28"/>
              <w:jc w:val="left"/>
              <w:rPr>
                <w:sz w:val="20"/>
              </w:rPr>
            </w:pPr>
            <w:r>
              <w:rPr>
                <w:sz w:val="20"/>
              </w:rPr>
              <w:t>X.</w:t>
            </w:r>
          </w:p>
        </w:tc>
        <w:tc>
          <w:tcPr>
            <w:tcW w:w="1792" w:type="dxa"/>
          </w:tcPr>
          <w:p>
            <w:pPr>
              <w:pStyle w:val="TableParagraph"/>
              <w:spacing w:line="243" w:lineRule="exact" w:before="0"/>
              <w:ind w:left="69" w:right="44"/>
              <w:rPr>
                <w:sz w:val="20"/>
              </w:rPr>
            </w:pPr>
            <w:r>
              <w:rPr>
                <w:sz w:val="20"/>
              </w:rPr>
              <w:t>Repetitive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Thoughts</w:t>
            </w:r>
          </w:p>
          <w:p>
            <w:pPr>
              <w:pStyle w:val="TableParagraph"/>
              <w:spacing w:line="223" w:lineRule="exact" w:before="0"/>
              <w:ind w:left="67" w:right="44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Behaviors</w:t>
            </w:r>
          </w:p>
        </w:tc>
        <w:tc>
          <w:tcPr>
            <w:tcW w:w="1620" w:type="dxa"/>
          </w:tcPr>
          <w:p>
            <w:pPr>
              <w:pStyle w:val="TableParagraph"/>
              <w:spacing w:line="243" w:lineRule="exact" w:before="0"/>
              <w:ind w:left="12" w:right="6"/>
              <w:rPr>
                <w:sz w:val="20"/>
              </w:rPr>
            </w:pPr>
            <w:r>
              <w:rPr>
                <w:sz w:val="20"/>
              </w:rPr>
              <w:t>Mild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greater</w:t>
            </w:r>
          </w:p>
        </w:tc>
        <w:tc>
          <w:tcPr>
            <w:tcW w:w="6841" w:type="dxa"/>
          </w:tcPr>
          <w:p>
            <w:pPr>
              <w:pStyle w:val="TableParagraph"/>
              <w:spacing w:line="243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LEVEL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2—Repetitive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Thoughts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Behaviors—Adult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(adapted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Florida</w:t>
            </w:r>
          </w:p>
          <w:p>
            <w:pPr>
              <w:pStyle w:val="TableParagraph"/>
              <w:spacing w:line="223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Obsessive-Compulsive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Inventory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[FOCI]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Severity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Scale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[Part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B])</w:t>
            </w:r>
          </w:p>
        </w:tc>
      </w:tr>
      <w:tr>
        <w:trPr>
          <w:trHeight w:val="244" w:hRule="atLeast"/>
        </w:trPr>
        <w:tc>
          <w:tcPr>
            <w:tcW w:w="696" w:type="dxa"/>
          </w:tcPr>
          <w:p>
            <w:pPr>
              <w:pStyle w:val="TableParagraph"/>
              <w:spacing w:line="224" w:lineRule="exact" w:before="0"/>
              <w:ind w:left="28"/>
              <w:jc w:val="left"/>
              <w:rPr>
                <w:sz w:val="20"/>
              </w:rPr>
            </w:pPr>
            <w:r>
              <w:rPr>
                <w:sz w:val="20"/>
              </w:rPr>
              <w:t>XI.</w:t>
            </w:r>
          </w:p>
        </w:tc>
        <w:tc>
          <w:tcPr>
            <w:tcW w:w="1792" w:type="dxa"/>
          </w:tcPr>
          <w:p>
            <w:pPr>
              <w:pStyle w:val="TableParagraph"/>
              <w:spacing w:line="224" w:lineRule="exact" w:before="0"/>
              <w:ind w:left="66" w:right="44"/>
              <w:rPr>
                <w:sz w:val="20"/>
              </w:rPr>
            </w:pPr>
            <w:r>
              <w:rPr>
                <w:sz w:val="20"/>
              </w:rPr>
              <w:t>Dissociation</w:t>
            </w:r>
          </w:p>
        </w:tc>
        <w:tc>
          <w:tcPr>
            <w:tcW w:w="1620" w:type="dxa"/>
          </w:tcPr>
          <w:p>
            <w:pPr>
              <w:pStyle w:val="TableParagraph"/>
              <w:spacing w:line="224" w:lineRule="exact" w:before="0"/>
              <w:ind w:left="12" w:right="6"/>
              <w:rPr>
                <w:sz w:val="20"/>
              </w:rPr>
            </w:pPr>
            <w:r>
              <w:rPr>
                <w:sz w:val="20"/>
              </w:rPr>
              <w:t>Mild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greater</w:t>
            </w:r>
          </w:p>
        </w:tc>
        <w:tc>
          <w:tcPr>
            <w:tcW w:w="6841" w:type="dxa"/>
          </w:tcPr>
          <w:p>
            <w:pPr>
              <w:pStyle w:val="TableParagraph"/>
              <w:spacing w:line="224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None</w:t>
            </w:r>
          </w:p>
        </w:tc>
      </w:tr>
      <w:tr>
        <w:trPr>
          <w:trHeight w:val="489" w:hRule="atLeast"/>
        </w:trPr>
        <w:tc>
          <w:tcPr>
            <w:tcW w:w="696" w:type="dxa"/>
          </w:tcPr>
          <w:p>
            <w:pPr>
              <w:pStyle w:val="TableParagraph"/>
              <w:spacing w:line="243" w:lineRule="exact" w:before="0"/>
              <w:ind w:left="28"/>
              <w:jc w:val="left"/>
              <w:rPr>
                <w:sz w:val="20"/>
              </w:rPr>
            </w:pPr>
            <w:r>
              <w:rPr>
                <w:sz w:val="20"/>
              </w:rPr>
              <w:t>XII.</w:t>
            </w:r>
          </w:p>
        </w:tc>
        <w:tc>
          <w:tcPr>
            <w:tcW w:w="1792" w:type="dxa"/>
          </w:tcPr>
          <w:p>
            <w:pPr>
              <w:pStyle w:val="TableParagraph"/>
              <w:spacing w:line="243" w:lineRule="exact" w:before="0"/>
              <w:ind w:left="451"/>
              <w:jc w:val="left"/>
              <w:rPr>
                <w:sz w:val="20"/>
              </w:rPr>
            </w:pPr>
            <w:r>
              <w:rPr>
                <w:sz w:val="20"/>
              </w:rPr>
              <w:t>Personality</w:t>
            </w:r>
          </w:p>
          <w:p>
            <w:pPr>
              <w:pStyle w:val="TableParagraph"/>
              <w:spacing w:line="225" w:lineRule="exact" w:before="0"/>
              <w:ind w:left="425"/>
              <w:jc w:val="left"/>
              <w:rPr>
                <w:sz w:val="20"/>
              </w:rPr>
            </w:pPr>
            <w:r>
              <w:rPr>
                <w:sz w:val="20"/>
              </w:rPr>
              <w:t>Functioning</w:t>
            </w:r>
          </w:p>
        </w:tc>
        <w:tc>
          <w:tcPr>
            <w:tcW w:w="1620" w:type="dxa"/>
          </w:tcPr>
          <w:p>
            <w:pPr>
              <w:pStyle w:val="TableParagraph"/>
              <w:spacing w:line="243" w:lineRule="exact" w:before="0"/>
              <w:ind w:left="12" w:right="6"/>
              <w:rPr>
                <w:sz w:val="20"/>
              </w:rPr>
            </w:pPr>
            <w:r>
              <w:rPr>
                <w:sz w:val="20"/>
              </w:rPr>
              <w:t>Mild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greater</w:t>
            </w:r>
          </w:p>
        </w:tc>
        <w:tc>
          <w:tcPr>
            <w:tcW w:w="6841" w:type="dxa"/>
          </w:tcPr>
          <w:p>
            <w:pPr>
              <w:pStyle w:val="TableParagraph"/>
              <w:spacing w:line="243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None</w:t>
            </w:r>
          </w:p>
        </w:tc>
      </w:tr>
      <w:tr>
        <w:trPr>
          <w:trHeight w:val="244" w:hRule="atLeast"/>
        </w:trPr>
        <w:tc>
          <w:tcPr>
            <w:tcW w:w="696" w:type="dxa"/>
          </w:tcPr>
          <w:p>
            <w:pPr>
              <w:pStyle w:val="TableParagraph"/>
              <w:spacing w:line="224" w:lineRule="exact" w:before="0"/>
              <w:ind w:left="28"/>
              <w:jc w:val="left"/>
              <w:rPr>
                <w:sz w:val="20"/>
              </w:rPr>
            </w:pPr>
            <w:r>
              <w:rPr>
                <w:sz w:val="20"/>
              </w:rPr>
              <w:t>XIII.</w:t>
            </w:r>
          </w:p>
        </w:tc>
        <w:tc>
          <w:tcPr>
            <w:tcW w:w="1792" w:type="dxa"/>
          </w:tcPr>
          <w:p>
            <w:pPr>
              <w:pStyle w:val="TableParagraph"/>
              <w:spacing w:line="224" w:lineRule="exact" w:before="0"/>
              <w:ind w:left="67" w:right="44"/>
              <w:rPr>
                <w:sz w:val="20"/>
              </w:rPr>
            </w:pPr>
            <w:r>
              <w:rPr>
                <w:sz w:val="20"/>
              </w:rPr>
              <w:t>Substance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Use</w:t>
            </w:r>
          </w:p>
        </w:tc>
        <w:tc>
          <w:tcPr>
            <w:tcW w:w="1620" w:type="dxa"/>
          </w:tcPr>
          <w:p>
            <w:pPr>
              <w:pStyle w:val="TableParagraph"/>
              <w:spacing w:line="224" w:lineRule="exact" w:before="0"/>
              <w:ind w:left="12" w:right="6"/>
              <w:rPr>
                <w:sz w:val="20"/>
              </w:rPr>
            </w:pPr>
            <w:r>
              <w:rPr>
                <w:sz w:val="20"/>
              </w:rPr>
              <w:t>Slight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greater</w:t>
            </w:r>
          </w:p>
        </w:tc>
        <w:tc>
          <w:tcPr>
            <w:tcW w:w="6841" w:type="dxa"/>
          </w:tcPr>
          <w:p>
            <w:pPr>
              <w:pStyle w:val="TableParagraph"/>
              <w:spacing w:line="224" w:lineRule="exact" w:before="0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LEVEL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2—Substance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Abuse—Adult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(adapted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NIDA-modified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ASSIST)</w:t>
            </w:r>
          </w:p>
        </w:tc>
      </w:tr>
    </w:tbl>
    <w:p>
      <w:pPr>
        <w:spacing w:before="0"/>
        <w:ind w:left="300" w:right="0" w:firstLine="0"/>
        <w:jc w:val="left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  <w:vertAlign w:val="baseline"/>
        </w:rPr>
        <w:t>The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PROMIS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Short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Forms have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not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been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validated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as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an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informant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report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scale by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the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PROMIS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group.</w:t>
      </w:r>
    </w:p>
    <w:sectPr>
      <w:pgSz w:w="12240" w:h="15840"/>
      <w:pgMar w:header="0" w:footer="591" w:top="540" w:bottom="780" w:left="420" w:right="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2.410004pt;margin-top:751.466003pt;width:364.6pt;height:19.9pt;mso-position-horizontal-relative:page;mso-position-vertical-relative:page;z-index:-16135680" type="#_x0000_t202" filled="false" stroked="false">
          <v:textbox inset="0,0,0,0">
            <w:txbxContent>
              <w:p>
                <w:pPr>
                  <w:spacing w:line="184" w:lineRule="exact" w:before="0"/>
                  <w:ind w:left="0" w:right="18" w:firstLine="0"/>
                  <w:jc w:val="right"/>
                  <w:rPr>
                    <w:sz w:val="16"/>
                  </w:rPr>
                </w:pPr>
                <w:r>
                  <w:rPr>
                    <w:sz w:val="16"/>
                  </w:rPr>
                  <w:t>Copyright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©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2013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American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Psychiatric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Association.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All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Rights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Reserved.</w:t>
                </w:r>
              </w:p>
              <w:p>
                <w:pPr>
                  <w:spacing w:before="1"/>
                  <w:ind w:left="0" w:right="19" w:firstLine="0"/>
                  <w:jc w:val="right"/>
                  <w:rPr>
                    <w:sz w:val="16"/>
                  </w:rPr>
                </w:pPr>
                <w:r>
                  <w:rPr>
                    <w:sz w:val="16"/>
                  </w:rPr>
                  <w:t>This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material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can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be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reproduced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without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permission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by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researchers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and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by</w:t>
                </w:r>
                <w:r>
                  <w:rPr>
                    <w:spacing w:val="-1"/>
                    <w:sz w:val="16"/>
                  </w:rPr>
                  <w:t> </w:t>
                </w:r>
                <w:r>
                  <w:rPr>
                    <w:sz w:val="16"/>
                  </w:rPr>
                  <w:t>clinicians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for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use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with</w:t>
                </w:r>
                <w:r>
                  <w:rPr>
                    <w:spacing w:val="-1"/>
                    <w:sz w:val="16"/>
                  </w:rPr>
                  <w:t> </w:t>
                </w:r>
                <w:r>
                  <w:rPr>
                    <w:sz w:val="16"/>
                  </w:rPr>
                  <w:t>their</w:t>
                </w:r>
                <w:r>
                  <w:rPr>
                    <w:spacing w:val="-1"/>
                    <w:sz w:val="16"/>
                  </w:rPr>
                  <w:t> </w:t>
                </w:r>
                <w:r>
                  <w:rPr>
                    <w:sz w:val="16"/>
                  </w:rPr>
                  <w:t>patients.</w:t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00"/>
      <w:outlineLvl w:val="1"/>
    </w:pPr>
    <w:rPr>
      <w:rFonts w:ascii="Calibri" w:hAnsi="Calibri" w:eastAsia="Calibri" w:cs="Calibri"/>
      <w:b/>
      <w:bCs/>
      <w:sz w:val="21"/>
      <w:szCs w:val="21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5"/>
      <w:ind w:left="1846" w:right="1980"/>
      <w:jc w:val="center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47"/>
      <w:jc w:val="center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2023-02-03T23:52:58Z</dcterms:created>
  <dcterms:modified xsi:type="dcterms:W3CDTF">2023-02-03T23:52:58Z</dcterms:modified>
</cp:coreProperties>
</file>